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C98ED" w14:textId="2D3D12A1" w:rsidR="00223B81" w:rsidRPr="00223B81" w:rsidRDefault="00223B81" w:rsidP="00223B81">
      <w:pPr>
        <w:pStyle w:val="afff6"/>
        <w:rPr>
          <w:lang w:val="en-GB"/>
        </w:rPr>
      </w:pPr>
      <w:r w:rsidRPr="00223B81">
        <w:rPr>
          <w:lang w:val="en-GB"/>
        </w:rPr>
        <w:t>Supplementary material</w:t>
      </w:r>
    </w:p>
    <w:p w14:paraId="309F6111" w14:textId="2E5D01EA" w:rsidR="00223B81" w:rsidRDefault="00223B81" w:rsidP="00223B81">
      <w:pPr>
        <w:ind w:firstLine="420"/>
        <w:rPr>
          <w:rFonts w:eastAsiaTheme="minorEastAsia"/>
          <w:b/>
          <w:bCs/>
          <w:lang w:val="en-GB"/>
        </w:rPr>
      </w:pPr>
    </w:p>
    <w:p w14:paraId="411F3EC8" w14:textId="77777777" w:rsidR="002341B9" w:rsidRPr="002341B9" w:rsidRDefault="002341B9" w:rsidP="00223B81">
      <w:pPr>
        <w:ind w:firstLine="420"/>
        <w:rPr>
          <w:rFonts w:eastAsiaTheme="minorEastAsia"/>
          <w:b/>
          <w:bCs/>
          <w:lang w:val="en-GB"/>
        </w:rPr>
      </w:pPr>
    </w:p>
    <w:p w14:paraId="07C66E12" w14:textId="5FBCC31C" w:rsidR="007D447A" w:rsidRPr="00223B81" w:rsidRDefault="001F54D4" w:rsidP="00223B81">
      <w:pPr>
        <w:pStyle w:val="affb"/>
        <w:rPr>
          <w:lang w:val="en-GB"/>
        </w:rPr>
      </w:pPr>
      <w:r w:rsidRPr="00223B81">
        <w:rPr>
          <w:lang w:val="en-GB"/>
        </w:rPr>
        <w:t xml:space="preserve">Supplementary </w:t>
      </w:r>
      <w:r w:rsidR="00223B81" w:rsidRPr="00223B81">
        <w:rPr>
          <w:lang w:val="en-GB"/>
        </w:rPr>
        <w:t>m</w:t>
      </w:r>
      <w:r w:rsidRPr="00223B81">
        <w:rPr>
          <w:lang w:val="en-GB"/>
        </w:rPr>
        <w:t xml:space="preserve">aterial 2. </w:t>
      </w:r>
      <w:r w:rsidR="003A7509" w:rsidRPr="00223B81">
        <w:rPr>
          <w:lang w:val="en-GB"/>
        </w:rPr>
        <w:t xml:space="preserve">Excluded </w:t>
      </w:r>
      <w:r w:rsidR="00223B81" w:rsidRPr="00223B81">
        <w:rPr>
          <w:lang w:val="en-GB"/>
        </w:rPr>
        <w:t>s</w:t>
      </w:r>
      <w:r w:rsidR="003A7509" w:rsidRPr="00223B81">
        <w:rPr>
          <w:lang w:val="en-GB"/>
        </w:rPr>
        <w:t>tudies</w:t>
      </w:r>
      <w:r w:rsidR="00223B81" w:rsidRPr="00223B81">
        <w:rPr>
          <w:lang w:val="en-GB"/>
        </w:rPr>
        <w:t>.</w:t>
      </w:r>
    </w:p>
    <w:tbl>
      <w:tblPr>
        <w:tblStyle w:val="aa"/>
        <w:tblW w:w="10423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1772"/>
        <w:gridCol w:w="829"/>
        <w:gridCol w:w="2315"/>
        <w:gridCol w:w="1826"/>
      </w:tblGrid>
      <w:tr w:rsidR="00223B81" w:rsidRPr="00223B81" w14:paraId="7069E40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26D526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Title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6FF7916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Author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1D50CE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Year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55C871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9B7EF7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Exclusion Reason</w:t>
            </w:r>
          </w:p>
        </w:tc>
      </w:tr>
      <w:tr w:rsidR="00223B81" w:rsidRPr="00223B81" w14:paraId="441312F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6D39BAD" w14:textId="0403044D" w:rsidR="003A7509" w:rsidRPr="00223B81" w:rsidRDefault="003A7509" w:rsidP="00223B81">
            <w:pPr>
              <w:ind w:firstLineChars="0" w:firstLine="0"/>
              <w:jc w:val="left"/>
              <w:rPr>
                <w:rFonts w:eastAsiaTheme="minorEastAsia"/>
              </w:rPr>
            </w:pPr>
            <w:r w:rsidRPr="00223B81">
              <w:t>Antinociceptive reflex alteration in acute posttraumatic headache following whiplash injury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F07FA31" w14:textId="10284D48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Keidel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015E21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28EB63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7F02DA0" w14:textId="6CB11C78" w:rsidR="003A7509" w:rsidRPr="00223B81" w:rsidRDefault="00EE1B8A" w:rsidP="00223B81">
            <w:pPr>
              <w:ind w:firstLineChars="0" w:firstLine="0"/>
              <w:jc w:val="center"/>
            </w:pPr>
            <w:r>
              <w:t>trigeminocervical complex (</w:t>
            </w:r>
            <w:r w:rsidR="003A7509" w:rsidRPr="00223B81">
              <w:t>TCN</w:t>
            </w:r>
            <w:r>
              <w:t>)</w:t>
            </w:r>
            <w:r w:rsidR="003A7509" w:rsidRPr="00223B81">
              <w:t xml:space="preserve"> not investigated</w:t>
            </w:r>
          </w:p>
        </w:tc>
      </w:tr>
      <w:tr w:rsidR="00223B81" w:rsidRPr="00223B81" w14:paraId="26A3B25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ACB5E48" w14:textId="352A3A3F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</w:t>
            </w:r>
            <w:r w:rsidR="00223B81" w:rsidRPr="00223B81">
              <w:t>cute effect of created muscle fatigue in cervical region on temporomandibular joint in healthy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6ECADBF" w14:textId="51F57F5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Kilinc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D25E1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C674924" w14:textId="368131B8" w:rsidR="003A7509" w:rsidRPr="00223B81" w:rsidRDefault="003A7509" w:rsidP="00223B81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Turkish Journal of Physiotherapy Rehabilitation-</w:t>
            </w:r>
            <w:proofErr w:type="spellStart"/>
            <w:r w:rsidRPr="00223B81">
              <w:t>Fizyoterapi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Rehabilitasyon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416DA6C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46151C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0FDF7E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Occipital afferent activation of second order neurons in the trigeminocervical complex in rat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A1CC850" w14:textId="03F18EB9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LeDoare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3D8C1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D341ED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 Letters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38F880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2FC8072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48BEB3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Systemic administration of lidocaine suppresses the excitability of rat cervical dorsal horn neurons and tooth-pulp-evoked jaw-opening reflex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6CC1465" w14:textId="57689BBF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Takeda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3737F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76BC1D2" w14:textId="7665BD39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</w:t>
            </w:r>
            <w:r w:rsidR="00AA3FAF" w:rsidRPr="00223B81">
              <w:t>u</w:t>
            </w:r>
            <w:r w:rsidRPr="00223B81">
              <w:t>rnal of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BF7781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96088E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7C6CDA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Does treatment of cervical dystonia reduce migraine frequency?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0CCC794" w14:textId="25957DBD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Bobker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B1143E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0676F55" w14:textId="155D2F45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B26C50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AF2533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770464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Resolution of primary cervicogenic headache with sub-perception active recharge spinal cord stimulation (10721)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945F002" w14:textId="36007B4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Yearwood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B15561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C958B2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Neuromodulation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007166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61CF0C6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D6F45D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trapezius - Clinical &amp; conditioning controversies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0D803CF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Wallden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7A16CB7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CBC365E" w14:textId="09646C4E" w:rsidR="003A7509" w:rsidRPr="00223B81" w:rsidRDefault="003A7509" w:rsidP="00223B81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Journal of Bodywork and Movement Therapies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B7E92B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Letter to editor</w:t>
            </w:r>
          </w:p>
        </w:tc>
      </w:tr>
      <w:tr w:rsidR="00223B81" w:rsidRPr="00223B81" w14:paraId="020B481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F1CE0A1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Functional somatotopic </w:t>
            </w:r>
            <w:proofErr w:type="spellStart"/>
            <w:r w:rsidRPr="00223B81">
              <w:t>organisation</w:t>
            </w:r>
            <w:proofErr w:type="spellEnd"/>
            <w:r w:rsidRPr="00223B81">
              <w:t xml:space="preserve"> of motoneurons supplying the rabbit masseter muscle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1E26650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Weijs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157C058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1EBAB7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91E7F6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54B241C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C2FE1E8" w14:textId="495A9206" w:rsidR="003A7509" w:rsidRPr="00223B81" w:rsidRDefault="003A7509" w:rsidP="00223B81">
            <w:pPr>
              <w:ind w:firstLineChars="0" w:firstLine="0"/>
              <w:jc w:val="left"/>
              <w:rPr>
                <w:rFonts w:eastAsiaTheme="minorEastAsia"/>
              </w:rPr>
            </w:pPr>
            <w:r w:rsidRPr="00223B81">
              <w:t xml:space="preserve">Phenol injection into cisterna magna for relief of advanced intractable cancer pain in the </w:t>
            </w:r>
            <w:proofErr w:type="spellStart"/>
            <w:r w:rsidRPr="00223B81">
              <w:t>faciocephalyc</w:t>
            </w:r>
            <w:proofErr w:type="spellEnd"/>
            <w:r w:rsidRPr="00223B81">
              <w:t xml:space="preserve"> area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3FA32CD" w14:textId="105DDE25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Bortoluzzi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7BAF8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409A4D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Neurosurgical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104801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685BE8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C3FCE15" w14:textId="38DB9D06" w:rsidR="003A7509" w:rsidRPr="00223B81" w:rsidRDefault="003A7509" w:rsidP="00223B81">
            <w:pPr>
              <w:ind w:firstLineChars="0" w:firstLine="0"/>
              <w:jc w:val="left"/>
              <w:rPr>
                <w:rFonts w:eastAsiaTheme="minorEastAsia"/>
              </w:rPr>
            </w:pPr>
            <w:r w:rsidRPr="00223B81">
              <w:t>Extracranial projections of meningeal afferents and their impact on meningeal nociception and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6D1A212" w14:textId="6FA0916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Schuler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34346F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706FF19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Neurocephalgia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22753BD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51FF1EB6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3EB6B47" w14:textId="5EA53C24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</w:t>
            </w:r>
            <w:r w:rsidR="00223B81" w:rsidRPr="00223B81">
              <w:t>rigeminal nociceptive neurons in the subnucleus reticularis-</w:t>
            </w:r>
            <w:proofErr w:type="spellStart"/>
            <w:r w:rsidR="00223B81" w:rsidRPr="00223B81">
              <w:t>ventralis</w:t>
            </w:r>
            <w:proofErr w:type="spellEnd"/>
            <w:r w:rsidR="00223B81" w:rsidRPr="00223B81">
              <w:t xml:space="preserve"> .1. response properties and afferent connections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97F7703" w14:textId="08297E85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Yokota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A0556F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9E77B9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07CE238" w14:textId="6A97F9CC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</w:t>
            </w:r>
            <w:r w:rsidR="00EE1B8A">
              <w:t xml:space="preserve"> cervical complex</w:t>
            </w:r>
            <w:r w:rsidRPr="00223B81">
              <w:t xml:space="preserve"> </w:t>
            </w:r>
            <w:r w:rsidR="00EE1B8A">
              <w:t>(</w:t>
            </w:r>
            <w:r w:rsidRPr="00223B81">
              <w:t>CC</w:t>
            </w:r>
            <w:r w:rsidR="00EE1B8A">
              <w:t>)</w:t>
            </w:r>
            <w:r w:rsidRPr="00223B81">
              <w:t xml:space="preserve"> and Orofacial region is not investigated</w:t>
            </w:r>
          </w:p>
        </w:tc>
      </w:tr>
      <w:tr w:rsidR="00223B81" w:rsidRPr="00223B81" w14:paraId="4E0638D1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C85461B" w14:textId="6531E6CB" w:rsidR="003A7509" w:rsidRPr="00223B81" w:rsidRDefault="003A7509" w:rsidP="00223B81">
            <w:pPr>
              <w:ind w:firstLineChars="0" w:firstLine="0"/>
              <w:jc w:val="left"/>
              <w:rPr>
                <w:rFonts w:eastAsiaTheme="minorEastAsia"/>
              </w:rPr>
            </w:pPr>
            <w:r w:rsidRPr="00223B81">
              <w:t xml:space="preserve">Stimulation of the greater occipital nerve increases metabolic activity in the trigeminal nucleus </w:t>
            </w:r>
            <w:proofErr w:type="spellStart"/>
            <w:r w:rsidRPr="00223B81">
              <w:t>caudalis</w:t>
            </w:r>
            <w:proofErr w:type="spellEnd"/>
            <w:r w:rsidRPr="00223B81">
              <w:t xml:space="preserve"> and cervical dorsal horn of the cat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FDF2D35" w14:textId="57F645E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Goadsby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D63B5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8AE966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CCBB5B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22047510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BE2DB97" w14:textId="39C352C8" w:rsidR="003A7509" w:rsidRPr="00223B81" w:rsidRDefault="003A7509" w:rsidP="00223B81">
            <w:pPr>
              <w:ind w:firstLineChars="0" w:firstLine="0"/>
              <w:jc w:val="left"/>
              <w:rPr>
                <w:rFonts w:eastAsiaTheme="minorEastAsia"/>
              </w:rPr>
            </w:pPr>
            <w:r w:rsidRPr="00223B81">
              <w:t>Red forehead dot syndrome and migraine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90F0161" w14:textId="66226C55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Sethi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FB4B1B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211A9C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Journal of Headache and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AAAB59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Letter to editor</w:t>
            </w:r>
          </w:p>
        </w:tc>
      </w:tr>
      <w:tr w:rsidR="00223B81" w:rsidRPr="00223B81" w14:paraId="78B7ECE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00BA42E" w14:textId="08C21B0A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Sensitization of trigeminal nociceptive neurons in response to prolonged neck muscle pain: </w:t>
            </w:r>
            <w:r w:rsidR="000103BF" w:rsidRPr="00223B81">
              <w:t>im</w:t>
            </w:r>
            <w:r w:rsidRPr="00223B81">
              <w:t>plications for migraine pathology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9A6497B" w14:textId="71B68944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Durham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5DEC8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D4869E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E12F7C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53B7560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30907F4" w14:textId="5C8C7014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The use of an odorant trigger to induce nociception in animals with trigeminal sensitization elicited by neck muscle </w:t>
            </w:r>
            <w:r w:rsidRPr="00223B81">
              <w:lastRenderedPageBreak/>
              <w:t xml:space="preserve">inflammation: </w:t>
            </w:r>
            <w:r w:rsidR="000103BF" w:rsidRPr="00223B81">
              <w:t>a n</w:t>
            </w:r>
            <w:r w:rsidRPr="00223B81">
              <w:t>ovel model of migraine pathology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C82FCF9" w14:textId="267D53AB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lastRenderedPageBreak/>
              <w:t xml:space="preserve">Durham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82FB46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929768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6B4734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0B747FE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B6BAE8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Facial sensory disturbance associated with cervical myelopathy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D1300B4" w14:textId="5639EF4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Hagiwara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0ED1C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C93B29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Neurological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936194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153F537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F5B82D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Phosphorylation of extracellular signal-regulated kinase in trigeminal spinal subnucleus </w:t>
            </w:r>
            <w:proofErr w:type="spellStart"/>
            <w:r w:rsidRPr="00223B81">
              <w:t>caudalis</w:t>
            </w:r>
            <w:proofErr w:type="spellEnd"/>
            <w:r w:rsidRPr="00223B81">
              <w:t xml:space="preserve"> neurons during regeneration of the trigeminal nerve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4B7DF67" w14:textId="56069C28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Hitomi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02561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DACE0B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Journal of Pain Supplements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C35565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7954632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97153E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The effect of the </w:t>
            </w:r>
            <w:proofErr w:type="spellStart"/>
            <w:r w:rsidRPr="00223B81">
              <w:t>PostureJac</w:t>
            </w:r>
            <w:proofErr w:type="spellEnd"/>
            <w:r w:rsidRPr="00223B81">
              <w:t xml:space="preserve"> on deep cervical flexor endurance: implications in the management of cervicogenic headache and mechanical neck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BAD42D9" w14:textId="0CE187E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Makofsky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EA6EE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CAE49BF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Cranio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5550017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0B95F9D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56DC3B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Effect of the dental implant surgery on the pain threshold of head and neck region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EF9FB74" w14:textId="33EE4089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Ishigaki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305EE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5B625AD" w14:textId="7D3FD0E0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</w:t>
            </w:r>
            <w:r w:rsidR="00AA3FAF" w:rsidRPr="00223B81">
              <w:t>u</w:t>
            </w:r>
            <w:r w:rsidRPr="00223B81">
              <w:t>rnal of Pain Supplements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7D0428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Full-text not available</w:t>
            </w:r>
          </w:p>
        </w:tc>
      </w:tr>
      <w:tr w:rsidR="00223B81" w:rsidRPr="00223B81" w14:paraId="437B439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39F304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The results of trigeminal </w:t>
            </w:r>
            <w:proofErr w:type="spellStart"/>
            <w:r w:rsidRPr="00223B81">
              <w:t>nucleotractotomy</w:t>
            </w:r>
            <w:proofErr w:type="spellEnd"/>
            <w:r w:rsidRPr="00223B81">
              <w:t xml:space="preserve"> in 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D0C1F4F" w14:textId="5417C512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Grigorianlu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519FBC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0DCF894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Zhurnal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Voprosy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Neirokhirurgii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Imeni</w:t>
            </w:r>
            <w:proofErr w:type="spellEnd"/>
            <w:r w:rsidRPr="00223B81">
              <w:t xml:space="preserve"> N - N - </w:t>
            </w:r>
            <w:proofErr w:type="spellStart"/>
            <w:r w:rsidRPr="00223B81">
              <w:t>Burdenko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7839263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5CA9319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ADD331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Ramsey hunt syndrome with dysphagia with MRI evidence of brain stem and upper cervical cord involvement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2FE4336" w14:textId="4CD7A195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Satyan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6555A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D936B6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Neurology Conference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B8C9E7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0CBA42E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1DF9A2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Contribution of P2Y12 receptors to animal model of NTG-induced migraine-associated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6A346DC" w14:textId="56223A25" w:rsidR="003A7509" w:rsidRPr="00C6076E" w:rsidRDefault="003A7509" w:rsidP="00223B81">
            <w:pPr>
              <w:ind w:firstLineChars="0" w:firstLine="0"/>
              <w:jc w:val="center"/>
              <w:rPr>
                <w:rFonts w:eastAsiaTheme="minorEastAsia"/>
              </w:rPr>
            </w:pPr>
            <w:proofErr w:type="spellStart"/>
            <w:r w:rsidRPr="00C6076E">
              <w:t>Goloncser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0E21C7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D6B0A6C" w14:textId="77777777" w:rsidR="003A7509" w:rsidRPr="00223B81" w:rsidRDefault="003A7509" w:rsidP="00223B81">
            <w:pPr>
              <w:ind w:firstLineChars="0" w:firstLine="0"/>
              <w:jc w:val="center"/>
              <w:rPr>
                <w:lang w:val="es-CL"/>
              </w:rPr>
            </w:pPr>
            <w:r w:rsidRPr="00223B81">
              <w:rPr>
                <w:lang w:val="es-CL"/>
              </w:rPr>
              <w:t>Anales de la Real Academia Nacional de Farmacia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E7BC17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43AF0AF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0A5931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Bilateral mechanical-pain sensitivity over the trigeminal region in patients with chronic mechanical neck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B091799" w14:textId="5759181F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LaTouche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DB298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0D56EA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7019B4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9C3249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D44C8E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Central projections of cervical primary afferent fibers in the guinea pig: an HRP and WGA/HRP tracer study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2DCF71A" w14:textId="4D4DADFA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Prihoda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200737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65A7FF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8EBD12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374386D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E5EF4B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Effects of acupuncture on prevention of migraine attacks-relationship between decrease in the number of headaches days and improvement of head and neck muscles tenderness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BDEFE19" w14:textId="152DA599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Yamaguchi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4C6FB5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0A4448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the Japanese Society of Balneology, Climatology &amp; Physical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8E6547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5841149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498BAB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trigeminal tract and nucleus procedures in treatment of atypical 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23F41A3" w14:textId="338D6D15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Kanpolat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C5F78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8B61D2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Surgical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D887D7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64EF236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3BFDC11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Ultrastructure and synaptology of the paratrigeminal nucleus in the rat: Primary pharyngeal and laryngeal afferent projections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26A51A5" w14:textId="04D65615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Saxon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CAD5C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777D49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Synapse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B227BA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14473CB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52E809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Antinociceptive activity of botulinum toxin type A in the rat trigeminal region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408B81D" w14:textId="7D8B3B95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Matak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D8C096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051783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Toxicon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07E31B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Full-text not available</w:t>
            </w:r>
          </w:p>
        </w:tc>
      </w:tr>
      <w:tr w:rsidR="00223B81" w:rsidRPr="00223B81" w14:paraId="0160DE56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BF0EF8E" w14:textId="3B674E0D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</w:t>
            </w:r>
            <w:r w:rsidR="00223B81" w:rsidRPr="00223B81">
              <w:t>onvergence of afferents from superior sagittal sinus and tooth-pulp on cells in the upper cervical spinal-cord of the cat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522E178" w14:textId="14C9425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Angusleppan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308BF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F77491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 letters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E3CE66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1EF13B1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C3E2AB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Value of stereotaxic mesencephalic tractotomy in neoplastic cervicofacial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7FA4F8D" w14:textId="6B505122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Cohadon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8CAD71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8ABA6B0" w14:textId="77777777" w:rsidR="003A7509" w:rsidRPr="00EE1B8A" w:rsidRDefault="003A7509" w:rsidP="00223B81">
            <w:pPr>
              <w:ind w:firstLineChars="0" w:firstLine="0"/>
              <w:jc w:val="center"/>
              <w:rPr>
                <w:lang w:val="de-DE"/>
              </w:rPr>
            </w:pPr>
            <w:r w:rsidRPr="00EE1B8A">
              <w:rPr>
                <w:lang w:val="de-DE"/>
              </w:rPr>
              <w:t>Revue de Laryngologie Otologie Rhinologie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C26936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108D301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773EFFE" w14:textId="5218BF8B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central projections of the great auricular nerve primary afferent fibers</w:t>
            </w:r>
            <w:r w:rsidR="00EB67A2">
              <w:t>—</w:t>
            </w:r>
            <w:r w:rsidRPr="00223B81">
              <w:t>an HRP transganglionic tracing method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5CA9D92" w14:textId="1D4108FD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Liu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0BA9A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F784DA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548AFC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5628C37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37B2D1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Dental malocclusion stimulates neuromuscular circuits associated with temporomandibular disorders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77E78F0" w14:textId="73BE2463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Liu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9F2935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A0C1A2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Journal of Oral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D53E29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CF4DE3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4DEF1A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Role of neuron and non-neuronal cell </w:t>
            </w:r>
            <w:r w:rsidRPr="00223B81">
              <w:lastRenderedPageBreak/>
              <w:t>communication in persistent orofacial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7E8D268" w14:textId="2F686CAF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lastRenderedPageBreak/>
              <w:t xml:space="preserve">Iwata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DCB1A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2992825" w14:textId="0ADD87D6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 xml:space="preserve">Journal of Dental </w:t>
            </w:r>
            <w:r w:rsidRPr="00223B81">
              <w:lastRenderedPageBreak/>
              <w:t>Anesthesia &amp; Pain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8A5D54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lastRenderedPageBreak/>
              <w:t>Review</w:t>
            </w:r>
          </w:p>
        </w:tc>
      </w:tr>
      <w:tr w:rsidR="00223B81" w:rsidRPr="00223B81" w14:paraId="6C2DB4E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8FDA565" w14:textId="14A7F5D3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Erratum to: </w:t>
            </w:r>
            <w:r w:rsidR="00223B81">
              <w:t>“</w:t>
            </w:r>
            <w:r w:rsidRPr="00223B81">
              <w:t>Greater occipital nerve block in chronic migraine</w:t>
            </w:r>
            <w:r w:rsidR="00223B81">
              <w:t>”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5BEDD1F" w14:textId="28D992B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Saracco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35C86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855DE9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Neurological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14982D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Erratum</w:t>
            </w:r>
          </w:p>
        </w:tc>
      </w:tr>
      <w:tr w:rsidR="00223B81" w:rsidRPr="00223B81" w14:paraId="71DE82A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0827F6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Effect of upper cervical spine manipulation on mouth opening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95E58C7" w14:textId="6FA5B69F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MansillaFerragud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380934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69EBB20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Osteopatia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Cientifica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127D742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C3B0C0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046B27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Therapeutic blockade of greater occipital and supraorbital nerves in migraine patients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33812AF" w14:textId="383C0F9D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Caputti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318C8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CEA08A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95B3CD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F5AC3C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04A552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Ultrasound-guided C2 nerve block as a treatment for </w:t>
            </w:r>
            <w:proofErr w:type="spellStart"/>
            <w:r w:rsidRPr="00223B81">
              <w:t>trigemeninal</w:t>
            </w:r>
            <w:proofErr w:type="spellEnd"/>
            <w:r w:rsidRPr="00223B81">
              <w:t xml:space="preserve"> neuralgia: A case report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EB1410A" w14:textId="0E081CBB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Shivazad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118D2E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05EEF0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Regional Anesthesia and Pain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505ECD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Full-text not available</w:t>
            </w:r>
          </w:p>
        </w:tc>
      </w:tr>
      <w:tr w:rsidR="00223B81" w:rsidRPr="00223B81" w14:paraId="19F1801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81659F3" w14:textId="54AB4649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</w:t>
            </w:r>
            <w:r w:rsidR="00223B81" w:rsidRPr="00223B81">
              <w:t>he blink reflex in chronic tension-type headache, migraine, and cervicogenic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C85AE3F" w14:textId="68FA83BB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Sand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7A811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9B7909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233027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55364AC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0CCDB4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ERK-GluR1 phosphorylation in trigeminal spinal subnucleus </w:t>
            </w:r>
            <w:proofErr w:type="spellStart"/>
            <w:r w:rsidRPr="00223B81">
              <w:t>caudalis</w:t>
            </w:r>
            <w:proofErr w:type="spellEnd"/>
            <w:r w:rsidRPr="00223B81">
              <w:t xml:space="preserve"> neurons is involved in pain associated with dry tongue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E0557F0" w14:textId="26ECD6F3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Makaya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0B528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36AC63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Molecular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241E68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3A77AA7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EE047F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Cervical central cord syndrome involving the spinal trigeminal nucleus: a case report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D353F4C" w14:textId="5AF94482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Chang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CA106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8E4892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Surgical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26D699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96ACD60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BD308A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Paresthesia-free relief: Higher frequency stimulation of high cervical leads for patients with chronic 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9FE9C7F" w14:textId="73FD5B58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Patel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C67AB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45EC2B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Neuromodulation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2614A4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1DF3D1B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15597F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Trigeminal Neuralgia Resulting from Delayed Cervical Cord Compression after Acute Traumatic Fracture of Odontoid Process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BB3D27F" w14:textId="586DDCC4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Shim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C9F1DF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F4D5FA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Korean Journal of Neurotrauma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65C4C9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7CC612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DC1398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Light microscopic localization of calcitonin gene-related peptide in the normal feline trigeminal system and following </w:t>
            </w:r>
            <w:proofErr w:type="spellStart"/>
            <w:r w:rsidRPr="00223B81">
              <w:t>retrogasserian</w:t>
            </w:r>
            <w:proofErr w:type="spellEnd"/>
            <w:r w:rsidRPr="00223B81">
              <w:t xml:space="preserve"> rhizotomy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8C937BA" w14:textId="6E5A6834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Henry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6BB72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15F4D0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01B064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 xml:space="preserve">Cervical region not </w:t>
            </w:r>
            <w:proofErr w:type="spellStart"/>
            <w:r w:rsidRPr="00223B81">
              <w:t>incestigated</w:t>
            </w:r>
            <w:proofErr w:type="spellEnd"/>
          </w:p>
        </w:tc>
      </w:tr>
      <w:tr w:rsidR="00223B81" w:rsidRPr="00223B81" w14:paraId="56DB518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6B7F814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Neuronal Nitric Oxide Synthase is Involved in the Induction of Nerve Growth Factor-Induced Neck Muscle Nociception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AB4C1C0" w14:textId="03A92FB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Isaak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79BC3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0365F2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0EE08F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7FFB140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6D3D22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Pulsed radiofrequency of superior cervical sympathetic ganglion for treatment of refractory migraine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7312243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Carcamo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32FC623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750DE2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4684A6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Letter to editor</w:t>
            </w:r>
          </w:p>
        </w:tc>
      </w:tr>
      <w:tr w:rsidR="00223B81" w:rsidRPr="00223B81" w14:paraId="44A931C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E3C3CBD" w14:textId="6A02183E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M</w:t>
            </w:r>
            <w:r w:rsidR="00223B81" w:rsidRPr="00223B81">
              <w:t>asseter silent period evoked by stimulating the median nerve, cervical plexus and mental nerve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7F30397" w14:textId="438EEDB4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Urban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DD850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D456131" w14:textId="77777777" w:rsidR="003A7509" w:rsidRPr="00EE1B8A" w:rsidRDefault="003A7509" w:rsidP="00223B81">
            <w:pPr>
              <w:ind w:firstLineChars="0" w:firstLine="0"/>
              <w:jc w:val="center"/>
              <w:rPr>
                <w:lang w:val="de-DE"/>
              </w:rPr>
            </w:pPr>
            <w:r w:rsidRPr="00EE1B8A">
              <w:rPr>
                <w:lang w:val="de-DE"/>
              </w:rPr>
              <w:t>Eeg-Emg-Zeitschrift Für Elektroenzephalographie Elektromyographie Und Verwandte Gebiete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9AE741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379A40C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9E8B1A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Activation of 5-HT1B/(1D) receptor in the periaqueductal gray inhibits nociception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EF4639B" w14:textId="47972802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Bartsch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09E088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BDFE189" w14:textId="7A5BFD8B" w:rsidR="003A7509" w:rsidRPr="00223B81" w:rsidRDefault="003A7509" w:rsidP="0061633A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A</w:t>
            </w:r>
            <w:r w:rsidR="0061633A" w:rsidRPr="00223B81">
              <w:t xml:space="preserve">nnals of </w:t>
            </w:r>
            <w:r w:rsidR="0061633A">
              <w:t>N</w:t>
            </w:r>
            <w:r w:rsidR="0061633A" w:rsidRPr="00223B81">
              <w:t>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6DC2C3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029503B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3B5097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Trigeminal herpes zoster with a long-segmental enhanced lesion of the spinal trigeminal nucleus and tract on magnetic resonance imaging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338B98D" w14:textId="07B86E61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Ozawa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332D3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7FD6198" w14:textId="7BAD9840" w:rsidR="003A7509" w:rsidRPr="00223B81" w:rsidRDefault="003A7509" w:rsidP="00223B81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Journal of the Neurological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E95C43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2F0C6C5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9BD4573" w14:textId="77777777" w:rsidR="003A7509" w:rsidRPr="00223B81" w:rsidRDefault="003A7509" w:rsidP="00223B81">
            <w:pPr>
              <w:ind w:firstLineChars="0" w:firstLine="0"/>
              <w:jc w:val="left"/>
            </w:pPr>
            <w:proofErr w:type="spellStart"/>
            <w:r w:rsidRPr="00223B81">
              <w:t>Efferents</w:t>
            </w:r>
            <w:proofErr w:type="spellEnd"/>
            <w:r w:rsidRPr="00223B81">
              <w:t xml:space="preserve"> from the lateral frontal cortex to </w:t>
            </w:r>
            <w:proofErr w:type="spellStart"/>
            <w:r w:rsidRPr="00223B81">
              <w:t>spinomedullary</w:t>
            </w:r>
            <w:proofErr w:type="spellEnd"/>
            <w:r w:rsidRPr="00223B81">
              <w:t xml:space="preserve"> target areas, trigeminal nuclei, and spinally projecting brainstem regions in the hedgehog tenrec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D1E13CF" w14:textId="49D9C993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Kunzle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EAE48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F4E2AA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4C7C63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661D4FF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AA46A1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Extending the phenotype of FOSMN syndrome: An important ALS mimic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087E30E" w14:textId="6185BEF1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Broad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81E67F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187BE22" w14:textId="6F728C05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 xml:space="preserve">Amyotrophic Lateral Sclerosis and </w:t>
            </w:r>
            <w:r w:rsidRPr="00223B81">
              <w:lastRenderedPageBreak/>
              <w:t>Frontotemporal Degeneration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F95EFC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lastRenderedPageBreak/>
              <w:t>Poster</w:t>
            </w:r>
          </w:p>
        </w:tc>
      </w:tr>
      <w:tr w:rsidR="00223B81" w:rsidRPr="00223B81" w14:paraId="744586D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D9144B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Responses of trigeminal brain stem neurons and the digastric muscle to tooth-pulp stimulation in awake cats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9070597" w14:textId="55896C73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Boissonade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D6E402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9A0114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CC2B27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4678D0B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A532A3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Differential terminal distribution of single large cutaneous afferent fibers in the spinal trigeminal nucleus and in the cervical spinal dorsal horn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3868147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Hayashi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1A54B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F30B4B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A92A2B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026EAC3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3ED04C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Supraspinal inhibition of trigeminal input into subnucleus </w:t>
            </w:r>
            <w:proofErr w:type="spellStart"/>
            <w:r w:rsidRPr="00223B81">
              <w:t>caudalis</w:t>
            </w:r>
            <w:proofErr w:type="spellEnd"/>
            <w:r w:rsidRPr="00223B81">
              <w:t xml:space="preserve"> by dorsal column stimulation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6DE2F5F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Atweh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24CC35D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93B3DC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0BD8A4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2F4F025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C9E0634" w14:textId="23D0DFFE" w:rsidR="003A7509" w:rsidRPr="00223B81" w:rsidRDefault="003A7509" w:rsidP="00223B81">
            <w:pPr>
              <w:ind w:firstLineChars="0" w:firstLine="0"/>
              <w:jc w:val="left"/>
              <w:rPr>
                <w:rFonts w:eastAsiaTheme="minorEastAsia"/>
              </w:rPr>
            </w:pPr>
            <w:r w:rsidRPr="00223B81">
              <w:t xml:space="preserve">Advance on </w:t>
            </w:r>
            <w:proofErr w:type="spellStart"/>
            <w:r w:rsidRPr="00223B81">
              <w:t>reasearch</w:t>
            </w:r>
            <w:proofErr w:type="spellEnd"/>
            <w:r w:rsidRPr="00223B81">
              <w:t xml:space="preserve"> of cervicogenic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560B104" w14:textId="21896144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Zhang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739BC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32CEDE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Chinese Journal of Clinical Rehabilitation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DAF760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537E089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518C43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Facial pain relieved by dorsal root entry zone lesions in the trigeminal nucleus </w:t>
            </w:r>
            <w:proofErr w:type="spellStart"/>
            <w:r w:rsidRPr="00223B81">
              <w:t>caudalis</w:t>
            </w:r>
            <w:proofErr w:type="spellEnd"/>
            <w:r w:rsidRPr="00223B81">
              <w:t>: report of two cases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22CC701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Chen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DB345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06FD40D" w14:textId="5585444D" w:rsidR="003A7509" w:rsidRPr="00223B81" w:rsidRDefault="003A7509" w:rsidP="00223B81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Journal of the Formosan Medical Association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D26C5C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4876FA1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51D0DD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Simultaneous modulation of the exteroceptive suppression periods in the trapezius and temporalis muscles by experimental muscle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6A870F4" w14:textId="7B31F6C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Ge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0232E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A67C83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Clinical Neurophysiology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A77FEC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6536D8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765AC6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Upper cervical afferents to the motor trigeminal nucleus and the subnucleus </w:t>
            </w:r>
            <w:proofErr w:type="spellStart"/>
            <w:r w:rsidRPr="00223B81">
              <w:t>oralis</w:t>
            </w:r>
            <w:proofErr w:type="spellEnd"/>
            <w:r w:rsidRPr="00223B81">
              <w:t xml:space="preserve"> of the spinal trigeminal nucleus in the rat: an anterograde and retrograde tracing study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2940060" w14:textId="19DE0E76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Xiong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DF409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9BE836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 Letters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CC4D60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0F2244C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99DF3F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Non-nociceptive upper limb afferents modulate masseter muscle EMG </w:t>
            </w:r>
            <w:proofErr w:type="spellStart"/>
            <w:r w:rsidRPr="00223B81">
              <w:t>ativity</w:t>
            </w:r>
            <w:proofErr w:type="spellEnd"/>
            <w:r w:rsidRPr="00223B81">
              <w:t xml:space="preserve"> in man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BA42FDB" w14:textId="2D720AB2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Deriu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CCAD1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B191E9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Experimental 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DB7CC3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25169D9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0B473C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Effect of cortical spreading depression on basal and evoked traffic in the </w:t>
            </w:r>
            <w:proofErr w:type="spellStart"/>
            <w:r w:rsidRPr="00223B81">
              <w:t>trigeminovascular</w:t>
            </w:r>
            <w:proofErr w:type="spellEnd"/>
            <w:r w:rsidRPr="00223B81">
              <w:t xml:space="preserve"> sensory system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5CBA1EC" w14:textId="2C45EEC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Lambert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0F866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EA48CB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9B80EA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724C23B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FA7A46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Myofascial trigger points, neck mobility and forward head posture in unilateral migraine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D5B16BB" w14:textId="5CE22DB6" w:rsidR="003A7509" w:rsidRPr="00C6076E" w:rsidRDefault="003A7509" w:rsidP="00223B81">
            <w:pPr>
              <w:ind w:firstLineChars="0" w:firstLine="0"/>
              <w:jc w:val="center"/>
              <w:rPr>
                <w:lang w:val="es-CL"/>
              </w:rPr>
            </w:pPr>
            <w:r w:rsidRPr="00C6076E">
              <w:rPr>
                <w:lang w:val="es-CL"/>
              </w:rPr>
              <w:t xml:space="preserve">Fernandez-de-las-Penas </w:t>
            </w:r>
            <w:r w:rsidR="00543014" w:rsidRPr="00543014">
              <w:rPr>
                <w:i/>
                <w:lang w:val="es-CL"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A83BB9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AC1019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9663D5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7EB9770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E043AD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Concomitant mandibular and head-neck movements during jaw opening-closing in man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3532074" w14:textId="6DDEAA9D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Eriksson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10D8D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C5B4349" w14:textId="143D107F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</w:t>
            </w:r>
            <w:r w:rsidR="00AA3FAF" w:rsidRPr="00223B81">
              <w:t>u</w:t>
            </w:r>
            <w:r w:rsidRPr="00223B81">
              <w:t>rnal of Oral Rehabilitation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431348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6D46A92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C196DF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Glial cell activation in the spinal-trigeminal system in vivo: Implications for basic mechanisms of pain transmission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69D6058" w14:textId="6138F53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Magni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85FD3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54FFA6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Glia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845151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0B1AF49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AD45E4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Osteopathic management of an adult patient suffering from trigeminal neuralgia after a postoperative Arnold Chiari type I decompression: Case report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0311E8F" w14:textId="4365849B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Zegarra-Parodi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6E353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9FC034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Journal of Pain Supplements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41595A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6148B35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427402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Nucleus </w:t>
            </w:r>
            <w:proofErr w:type="spellStart"/>
            <w:r w:rsidRPr="00223B81">
              <w:t>Caudalis</w:t>
            </w:r>
            <w:proofErr w:type="spellEnd"/>
            <w:r w:rsidRPr="00223B81">
              <w:t xml:space="preserve"> Stimulation for 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0D490C1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Lau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5C1F04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2022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C2B245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Neuromodulation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E1EDE7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428929A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D163C4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composition and central projections of the internal auricular nerves of the dog.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91401F5" w14:textId="2906E5BB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Chien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9BDF6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9D5821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anatomy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EECEE9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2C0C8F6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31105D4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Migraine pathophysiology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F195507" w14:textId="316A7B2F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Goadsby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DFE48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D4EF9F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9D85A4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3B852EC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8E5C63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GABAB receptors in the NTS mediate the inhibitory effect of trigeminal </w:t>
            </w:r>
            <w:r w:rsidRPr="00223B81">
              <w:lastRenderedPageBreak/>
              <w:t>nociceptive inputs on parasympathetic reflex vasodilation in the rat masseter muscle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1F32D57" w14:textId="0F755A2E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lastRenderedPageBreak/>
              <w:t xml:space="preserve">Ishii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1F1CF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9A76968" w14:textId="1EEB38EB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American Journal of Physiology</w:t>
            </w:r>
            <w:r w:rsidR="00223B81">
              <w:t>-</w:t>
            </w:r>
            <w:r w:rsidRPr="00223B81">
              <w:t xml:space="preserve">Regulatory </w:t>
            </w:r>
            <w:r w:rsidRPr="00223B81">
              <w:lastRenderedPageBreak/>
              <w:t>Integrative &amp; Comparative Physiology</w:t>
            </w:r>
          </w:p>
          <w:p w14:paraId="7683724D" w14:textId="77777777" w:rsidR="003A7509" w:rsidRPr="00223B81" w:rsidRDefault="003A7509" w:rsidP="00223B81">
            <w:pPr>
              <w:ind w:firstLineChars="0" w:firstLine="0"/>
              <w:jc w:val="center"/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2BC4E4A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lastRenderedPageBreak/>
              <w:t>TCN not investigated</w:t>
            </w:r>
          </w:p>
        </w:tc>
      </w:tr>
      <w:tr w:rsidR="00223B81" w:rsidRPr="00223B81" w14:paraId="4D1653F1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F60DDD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Symptomatic trigeminal autonomic cephalalgia associated with allodynia in a patient with multiple sclerosis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22B4E82" w14:textId="47E77322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Liu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6F9D2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EEBD4E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the Chinese Medical Association</w:t>
            </w:r>
          </w:p>
          <w:p w14:paraId="18537A90" w14:textId="77777777" w:rsidR="003A7509" w:rsidRPr="00223B81" w:rsidRDefault="003A7509" w:rsidP="00223B81">
            <w:pPr>
              <w:ind w:firstLineChars="0" w:firstLine="0"/>
              <w:jc w:val="center"/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5591953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2CE73CD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C9F3324" w14:textId="63F84B9E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N</w:t>
            </w:r>
            <w:r w:rsidR="00223B81" w:rsidRPr="00223B81">
              <w:t>eurobiology of migraine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279F02E" w14:textId="3C78BAB9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Goadsby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FFD12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3089B9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C45CD7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3723AF6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E17022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Stereotactic trigeminal </w:t>
            </w:r>
            <w:proofErr w:type="spellStart"/>
            <w:r w:rsidRPr="00223B81">
              <w:t>nucleotomy</w:t>
            </w:r>
            <w:proofErr w:type="spellEnd"/>
            <w:r w:rsidRPr="00223B81">
              <w:t xml:space="preserve"> for </w:t>
            </w:r>
            <w:proofErr w:type="spellStart"/>
            <w:r w:rsidRPr="00223B81">
              <w:t>dysesthetic</w:t>
            </w:r>
            <w:proofErr w:type="spellEnd"/>
            <w:r w:rsidRPr="00223B81">
              <w:t xml:space="preserve"> 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3BAE638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Piedimonte</w:t>
            </w:r>
            <w:proofErr w:type="spellEnd"/>
            <w:r w:rsidRPr="00C6076E">
              <w:t xml:space="preserve"> at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41EA77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E0BE259" w14:textId="213376EC" w:rsidR="003A7509" w:rsidRPr="00223B81" w:rsidRDefault="003A7509" w:rsidP="00223B81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Stereotactic &amp; Functional Neurosurgery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8F76D2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0F2B1A9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F0D301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On whether there is a direct sympathetic influence on jaw muscle spindles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7FB30EE" w14:textId="5FFF3770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Passatore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91126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A7C8BA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7067E6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89BE5B0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3A8EEE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Experimental masseter muscle pain alters jaw-neck motor strategy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2E1BCAF" w14:textId="2EC5D78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Wiesinger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1031D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D5585C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Journal of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4FB529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109899C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FC7565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A </w:t>
            </w:r>
            <w:proofErr w:type="spellStart"/>
            <w:r w:rsidRPr="00223B81">
              <w:t>trigeminoreticular</w:t>
            </w:r>
            <w:proofErr w:type="spellEnd"/>
            <w:r w:rsidRPr="00223B81">
              <w:t xml:space="preserve"> pathway: implications in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D476946" w14:textId="0E50646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Panneton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9E61F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2214223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PLoS</w:t>
            </w:r>
            <w:proofErr w:type="spellEnd"/>
            <w:r w:rsidRPr="00223B81">
              <w:t xml:space="preserve"> One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0F2E06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030D286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9505284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Spinal </w:t>
            </w:r>
            <w:proofErr w:type="spellStart"/>
            <w:r w:rsidRPr="00223B81">
              <w:t>cheiro</w:t>
            </w:r>
            <w:proofErr w:type="spellEnd"/>
            <w:r w:rsidRPr="00223B81">
              <w:t>-oral syndrome: a common neurological entity in an unusual site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97A6906" w14:textId="53F30609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Lin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81BC13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C115710" w14:textId="20E16D99" w:rsidR="003A7509" w:rsidRPr="00223B81" w:rsidRDefault="003A7509" w:rsidP="00223B81">
            <w:pPr>
              <w:ind w:firstLineChars="0" w:firstLine="0"/>
              <w:jc w:val="center"/>
              <w:rPr>
                <w:rFonts w:eastAsiaTheme="minorEastAsia"/>
              </w:rPr>
            </w:pPr>
            <w:proofErr w:type="spellStart"/>
            <w:r w:rsidRPr="00223B81">
              <w:t>Neurologia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i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Neurochirurgia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Polska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3045DBC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B13F63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AD3B95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Vascular origin of cranial sensory disturbances caused by pathology of the lower cervical spine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77AABE9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Keuter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5821B79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1971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08C698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 xml:space="preserve">Acta </w:t>
            </w:r>
            <w:proofErr w:type="spellStart"/>
            <w:r w:rsidRPr="00223B81">
              <w:t>Neurochirurgica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45B8514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FEDF9A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7D8ECB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Excitatory amino release within spinal trigeminal nucleus after mustard oil injection into the temporomandibular joint region of the rat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7FD77A1" w14:textId="5BACEDF6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Bereiter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E324D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20945A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8C16FE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7E71861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78E8F1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Involvement of phosphorylated extracellular signal-regulated kinase in facial neuropathic pain following cervical nerve injury in rats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314845B" w14:textId="57CDBEC0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Kobayashi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265B7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B8FDE3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Journal of Pain Supplements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94CB2B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18606C6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43268F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Headaches associated with diseases of skull and neck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CF0A2C4" w14:textId="3FFF9444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Gobel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A1226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EB1A428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Schmerz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5FF36B1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1E5BBA71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62ABE5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Chiropractic management of cluster-tic syndrome: a case report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0D43E02" w14:textId="3BB7677A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Swain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95BB3F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E149BB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Chiropractic Journal of Australia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7A5CAA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3360E7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00C31C1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Localization of Met-enkephalin-like immunoreactivity within pain-related nuclei of cervical spinal cord, brainstem and midbrain in the cat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EDD9580" w14:textId="3653FCC2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Conrath</w:t>
            </w:r>
            <w:proofErr w:type="spellEnd"/>
            <w:r w:rsidRPr="00C6076E">
              <w:t xml:space="preserve">-Verrier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5BD27E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4B122B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 Research Bulletin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A8E614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4D004F5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BD513B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Herpes zoster </w:t>
            </w:r>
            <w:proofErr w:type="spellStart"/>
            <w:r w:rsidRPr="00223B81">
              <w:t>ophthalmicus</w:t>
            </w:r>
            <w:proofErr w:type="spellEnd"/>
            <w:r w:rsidRPr="00223B81">
              <w:t xml:space="preserve"> caught in the (Tr)act!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8622753" w14:textId="5F0810B8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Mufti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88B7EE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A8F74E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Emergency Radiology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C8387D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486CB37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FF010C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Anatomic landmarks of the glossopharyngeal nerve: A microsurgical anatomic study [1] (multiple letters)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7C04BCD" w14:textId="79FD1780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Tubbs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28E97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790521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Neurosurgery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6AA257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Letter to editor</w:t>
            </w:r>
          </w:p>
        </w:tc>
      </w:tr>
      <w:tr w:rsidR="00223B81" w:rsidRPr="00223B81" w14:paraId="4E3B39D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D2D45D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Percutaneous computed tomography-guided radiofrequency ablation of upper spinal cord pain pathways for cancer-related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CDCA3F2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Raslan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578A2AC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A988A3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Neurosurgery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8FAF2A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C3804A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12608A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Neck motor unit activities induced by inputs from periodontal mechanoreceptors in rats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B25CC13" w14:textId="088982B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Zeredo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12C89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FA66B4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Dental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E6F3B0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7699E23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C188D8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Migraine without aura, </w:t>
            </w:r>
            <w:proofErr w:type="spellStart"/>
            <w:r w:rsidRPr="00223B81">
              <w:t>arthrogenic</w:t>
            </w:r>
            <w:proofErr w:type="spellEnd"/>
            <w:r w:rsidRPr="00223B81">
              <w:t xml:space="preserve"> and myofascial cervical afferents: Role of EBM physiotherapy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4FB7492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Mourad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DB40C2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F42616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Headache and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09E5E7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655699C6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888A85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Facial sensory disturbance associated with cervical compressive myelopathy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DAF8A70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Kasahata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525EF3A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FB64F5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Medical Science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00FB31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8BBAD6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6563D0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technique: MYOFASCIAL TECHNIQUES. Uncoupling the Neck and Jaw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56F6E22" w14:textId="01D16AF8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Til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E10A9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A5FD64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Massage &amp; Bodywork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9ABA3E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F79366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2F85C7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lastRenderedPageBreak/>
              <w:t>Basic research and clinical investigations of the neural basis of orofacial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D008B2A" w14:textId="01AAF67E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Matsuka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8E791B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6CEE47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Oral Biosciences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A1E824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2E1D2596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82938B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Central mechanisms of masticatory muscle pain induced by occlusal interference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0713412" w14:textId="37DCC089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Yu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1E778D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CF723AE" w14:textId="0E5DCEA1" w:rsidR="003A7509" w:rsidRPr="00AC0BF4" w:rsidRDefault="00AC0BF4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>
              <w:t xml:space="preserve">Hua Xi Kou </w:t>
            </w:r>
            <w:proofErr w:type="spellStart"/>
            <w:r>
              <w:t>Qiang</w:t>
            </w:r>
            <w:proofErr w:type="spellEnd"/>
            <w:r>
              <w:t xml:space="preserve"> Yi </w:t>
            </w:r>
            <w:proofErr w:type="spellStart"/>
            <w:r>
              <w:t>Xue</w:t>
            </w:r>
            <w:proofErr w:type="spellEnd"/>
            <w:r>
              <w:t xml:space="preserve"> Za </w:t>
            </w:r>
            <w:proofErr w:type="spellStart"/>
            <w:r>
              <w:t>Zhi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70209C6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527EBF51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F37C33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Central distribution of synaptic contacts of primary and secondary jaw muscle spindle afferents in the trigeminal motor nucleus of the cat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949A32D" w14:textId="7F9DBC46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Kishimoto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05A8A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924B89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0CA0DC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66703EF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37E593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Enhancement of ERK phosphorylation and photic responses in </w:t>
            </w:r>
            <w:proofErr w:type="spellStart"/>
            <w:r w:rsidRPr="00223B81">
              <w:t>Vc</w:t>
            </w:r>
            <w:proofErr w:type="spellEnd"/>
            <w:r w:rsidRPr="00223B81">
              <w:t>/C1 neurons of a migraine model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131AE89" w14:textId="58536F72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Hitomi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01748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4E0C9D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 letters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EAD38F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526755A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B2C69A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Bilateral greater occipital nerve block: A symptomatic treatment of the </w:t>
            </w:r>
            <w:proofErr w:type="spellStart"/>
            <w:r w:rsidRPr="00223B81">
              <w:t>postdural</w:t>
            </w:r>
            <w:proofErr w:type="spellEnd"/>
            <w:r w:rsidRPr="00223B81">
              <w:t xml:space="preserve"> puncture headache. A prospective, </w:t>
            </w:r>
            <w:proofErr w:type="spellStart"/>
            <w:r w:rsidRPr="00223B81">
              <w:t>randomised</w:t>
            </w:r>
            <w:proofErr w:type="spellEnd"/>
            <w:r w:rsidRPr="00223B81">
              <w:t xml:space="preserve"> trial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1DD7F3C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Lopez-</w:t>
            </w:r>
            <w:proofErr w:type="spellStart"/>
            <w:r w:rsidRPr="00C6076E">
              <w:t>Vizcayno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596705B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E0EC58A" w14:textId="1CDC8474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Euro</w:t>
            </w:r>
            <w:r w:rsidR="00AC0BF4">
              <w:t xml:space="preserve">pean Journal of </w:t>
            </w:r>
            <w:proofErr w:type="spellStart"/>
            <w:r w:rsidR="00AC0BF4">
              <w:t>Anaesthesiology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17BD40B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6630D23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14E174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Painful Conditioning Stimuli of the Craniofacial Region Evokes Diffuse Noxious Inhibitory Controls in Men and Women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BE0B5D3" w14:textId="29DCE9AD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Wang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AC12C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2584B4E" w14:textId="05AE9A01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 xml:space="preserve">Journal of </w:t>
            </w:r>
            <w:r w:rsidR="00AA3FAF" w:rsidRPr="00223B81">
              <w:t>O</w:t>
            </w:r>
            <w:r w:rsidRPr="00223B81">
              <w:t>rofacial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04DDD5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FAB959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9FDFEC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 translational in vivo model of trigeminal autonomic cephalalgias: therapeutic characterization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0249807" w14:textId="03225E44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Akerman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E8F5C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2296D5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A55911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665770D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49790B5" w14:textId="77777777" w:rsidR="003A7509" w:rsidRPr="00223B81" w:rsidRDefault="003A7509" w:rsidP="00223B81">
            <w:pPr>
              <w:ind w:firstLineChars="0" w:firstLine="0"/>
              <w:jc w:val="left"/>
            </w:pPr>
            <w:proofErr w:type="spellStart"/>
            <w:r w:rsidRPr="00223B81">
              <w:t>Extratrigeminal</w:t>
            </w:r>
            <w:proofErr w:type="spellEnd"/>
            <w:r w:rsidRPr="00223B81">
              <w:t xml:space="preserve"> cluster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5976671" w14:textId="4F173E76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Sanin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C41CC1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33FCD1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1AD09A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3E6E3D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39155B5" w14:textId="77777777" w:rsidR="003A7509" w:rsidRPr="00223B81" w:rsidRDefault="003A7509" w:rsidP="00223B81">
            <w:pPr>
              <w:ind w:firstLineChars="0" w:firstLine="0"/>
              <w:jc w:val="left"/>
            </w:pPr>
            <w:proofErr w:type="spellStart"/>
            <w:r w:rsidRPr="00223B81">
              <w:t>Prepulse</w:t>
            </w:r>
            <w:proofErr w:type="spellEnd"/>
            <w:r w:rsidRPr="00223B81">
              <w:t xml:space="preserve"> modulation and recovery of </w:t>
            </w:r>
            <w:proofErr w:type="spellStart"/>
            <w:r w:rsidRPr="00223B81">
              <w:t>trigemino</w:t>
            </w:r>
            <w:proofErr w:type="spellEnd"/>
            <w:r w:rsidRPr="00223B81">
              <w:t>-cervical reflex in normal subjects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991CA8F" w14:textId="051E1D45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Sirinocak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14A69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846E19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Neurological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24A352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61AE16C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BBF05D1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On the centripetal pathways which transmit the radiations and reflex phenomena anteriorly in visceral afflictions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A4F1FE9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Lapinsky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6887E03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1926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FB1B57C" w14:textId="77777777" w:rsidR="003A7509" w:rsidRPr="00223B81" w:rsidRDefault="003A7509" w:rsidP="00223B81">
            <w:pPr>
              <w:ind w:firstLineChars="0" w:firstLine="0"/>
              <w:jc w:val="center"/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1F8C3A8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2901B38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EAC799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Tractotomy and partial vertical </w:t>
            </w:r>
            <w:proofErr w:type="spellStart"/>
            <w:r w:rsidRPr="00223B81">
              <w:t>nucleotomy</w:t>
            </w:r>
            <w:proofErr w:type="spellEnd"/>
            <w:r w:rsidRPr="00223B81">
              <w:t>--for treatment of special forms of trigeminal neuralgia and cancer pain of face and neck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9C0FFD3" w14:textId="40DC0F3D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Plangger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C23329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D57DA9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 xml:space="preserve">Acta </w:t>
            </w:r>
            <w:proofErr w:type="spellStart"/>
            <w:r w:rsidRPr="00223B81">
              <w:t>Neurochirurgica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0E6A8F2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Full-text not available</w:t>
            </w:r>
          </w:p>
        </w:tc>
      </w:tr>
      <w:tr w:rsidR="00223B81" w:rsidRPr="00223B81" w14:paraId="12F193A1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150903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Role of medullary </w:t>
            </w:r>
            <w:proofErr w:type="spellStart"/>
            <w:r w:rsidRPr="00223B81">
              <w:t>astroglial</w:t>
            </w:r>
            <w:proofErr w:type="spellEnd"/>
            <w:r w:rsidRPr="00223B81">
              <w:t xml:space="preserve"> glutamine synthesis in tooth pulp hypersensitivity associated with frequent masseter muscle contraction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AB96FD6" w14:textId="48EF71D0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Watase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704471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A295D1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Molecular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FE3D86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62DEF71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8B9418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Glial cell activation in the spinal-trigeminal system in vivo: Implications for basic mechanisms of pain transmission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614DC05" w14:textId="5B9E129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Magni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499A2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7ACEC4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Glia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FF0DBD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Full-text not available</w:t>
            </w:r>
          </w:p>
        </w:tc>
      </w:tr>
      <w:tr w:rsidR="00223B81" w:rsidRPr="00223B81" w14:paraId="53D931F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B4787F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Organization of projections from the spinal trigeminal subnucleus </w:t>
            </w:r>
            <w:proofErr w:type="spellStart"/>
            <w:r w:rsidRPr="00223B81">
              <w:t>oralis</w:t>
            </w:r>
            <w:proofErr w:type="spellEnd"/>
            <w:r w:rsidRPr="00223B81">
              <w:t xml:space="preserve"> to the spinal cord in the rat: a neuroanatomical substrate for reciprocal orofacial-cervical interactions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237ADE7" w14:textId="4CCEE3DA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Devoize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173FF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FFE111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0E387B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05F708E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E5ED86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Post traumatic headache and allodynia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7A1A591" w14:textId="251D79CA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Baruah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F59689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40E5C8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6012BB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365C969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11DAF0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neck and headaches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AD09E53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Bogduk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5056968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4D920E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Neurologic Clinics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8D09E7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5D6F820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90B259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Restoring pain modulation for chronic migraine; By mild stimuli of stretching tender points of the neck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BAE8EF6" w14:textId="0A184B52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Saka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2AF638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D8A556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EFA8FE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6771853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9DD5DE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Intractable Facial Pain Relieved by Percutaneous Trigeminal Tractotomy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C693D30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Fox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5D507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1971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2E428D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JAMA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5FF8A8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Brief commentary</w:t>
            </w:r>
          </w:p>
        </w:tc>
      </w:tr>
      <w:tr w:rsidR="00223B81" w:rsidRPr="00223B81" w14:paraId="3CCC561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910E06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Mechanical hyperalgesia profile and clinical features in subgroups of patients </w:t>
            </w:r>
            <w:r w:rsidRPr="00223B81">
              <w:lastRenderedPageBreak/>
              <w:t>with temporomandibular disorders and patients with chronic neck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77DC38E" w14:textId="7830E522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lastRenderedPageBreak/>
              <w:t>Fernanez-Carnero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EC40D4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23D5B5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Journal of Pain Supplements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6E5111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036E6611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60FDB4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Sustained response of new daily persistent headache to radiofrequency ablation of </w:t>
            </w:r>
            <w:proofErr w:type="spellStart"/>
            <w:r w:rsidRPr="00223B81">
              <w:t>pericranial</w:t>
            </w:r>
            <w:proofErr w:type="spellEnd"/>
            <w:r w:rsidRPr="00223B81">
              <w:t xml:space="preserve"> nerves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95BA5E8" w14:textId="721E6550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Fermo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BF885D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832F9F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6AC84C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13BC7B0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D4E4E4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 blessing in disguise: resolution of tardive dyskinesia with development of cervical myelitis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01CD04F" w14:textId="0DFC1A51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Lim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C701F1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466B97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Movement Disorders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3E6AE6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6FC7B29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0C8B9C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Differential activation of ascending noxious pathways associated with trigeminal nerve injury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F8CA36B" w14:textId="268E0FE3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Okada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6637B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972F92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ACC6EE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1B63058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B1C264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Inhibition of temporomandibular joint input to medullary dorsal horn neurons by 5HT3 receptor antagonist in female rats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1F615C9" w14:textId="47BE4E5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Okamoto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8AEBA9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239861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3D988D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3A6500B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0D7138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Effect of trigeminal tractotomy on dental sensation in humans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6162BCB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Young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9AD23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D7FDFD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Neurosurgery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DBB6D8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D6E25A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FD993A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Occipital nerve stimulation in primary headaches: influence of cervical sensory afferences on the caudal trigeminal nucleus?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90203FF" w14:textId="708F5323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Straube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D602C6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7A5EA73" w14:textId="067DDC2E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proofErr w:type="spellStart"/>
            <w:r w:rsidRPr="00223B81">
              <w:t>Fortschr</w:t>
            </w:r>
            <w:r w:rsidR="00AC0BF4">
              <w:t>itte</w:t>
            </w:r>
            <w:proofErr w:type="spellEnd"/>
            <w:r w:rsidR="00AC0BF4">
              <w:t xml:space="preserve"> der </w:t>
            </w:r>
            <w:proofErr w:type="spellStart"/>
            <w:r w:rsidR="00AC0BF4">
              <w:t>Neurologie-Psychiatrie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531FFE5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Brief commentary</w:t>
            </w:r>
          </w:p>
        </w:tc>
      </w:tr>
      <w:tr w:rsidR="00223B81" w:rsidRPr="00223B81" w14:paraId="0ECA6CE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5A758C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A Case of </w:t>
            </w:r>
            <w:proofErr w:type="spellStart"/>
            <w:r w:rsidRPr="00223B81">
              <w:t>Prethoracic</w:t>
            </w:r>
            <w:proofErr w:type="spellEnd"/>
            <w:r w:rsidRPr="00223B81">
              <w:t xml:space="preserve"> Pain Radiating Upward and Initiating Nervus Intermedius Neuralgia and Migraine Headache: Could </w:t>
            </w:r>
            <w:proofErr w:type="spellStart"/>
            <w:r w:rsidRPr="00223B81">
              <w:t>Epicrania</w:t>
            </w:r>
            <w:proofErr w:type="spellEnd"/>
            <w:r w:rsidRPr="00223B81">
              <w:t xml:space="preserve"> Fugax Pain Start in the Upper Body?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0058D5B" w14:textId="3F16B0B2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Wang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0CA55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3EAC2A1" w14:textId="0C340F6A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 xml:space="preserve">Journal of </w:t>
            </w:r>
            <w:r w:rsidR="00AC0BF4">
              <w:t>Oral &amp; Facial Pain and 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0393C4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5BF61E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6C1809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Understanding migraine: Pathophysiology and presentation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86FC992" w14:textId="6C430583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Unger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394CB4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E46D8C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Emergency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EF630E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0E1508D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A1B3C6C" w14:textId="77777777" w:rsidR="003A7509" w:rsidRPr="00223B81" w:rsidRDefault="003A7509" w:rsidP="00223B81">
            <w:pPr>
              <w:ind w:firstLineChars="0" w:firstLine="0"/>
              <w:jc w:val="left"/>
            </w:pPr>
            <w:proofErr w:type="spellStart"/>
            <w:r w:rsidRPr="00223B81">
              <w:t>Interneurones</w:t>
            </w:r>
            <w:proofErr w:type="spellEnd"/>
            <w:r w:rsidRPr="00223B81">
              <w:t xml:space="preserve"> of the </w:t>
            </w:r>
            <w:proofErr w:type="spellStart"/>
            <w:r w:rsidRPr="00223B81">
              <w:t>supratrigeminal</w:t>
            </w:r>
            <w:proofErr w:type="spellEnd"/>
            <w:r w:rsidRPr="00223B81">
              <w:t xml:space="preserve"> area mediating reflex inhibition of trigeminal and facial </w:t>
            </w:r>
            <w:proofErr w:type="spellStart"/>
            <w:r w:rsidRPr="00223B81">
              <w:t>motoneurones</w:t>
            </w:r>
            <w:proofErr w:type="spellEnd"/>
            <w:r w:rsidRPr="00223B81">
              <w:t xml:space="preserve"> in the rat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1E9D7D8" w14:textId="00AC709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Minkels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0A66C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1162DC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Archives of Oral Biology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AE5D47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3D8095D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801D72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Tractotomy and partial </w:t>
            </w:r>
            <w:proofErr w:type="spellStart"/>
            <w:r w:rsidRPr="00223B81">
              <w:t>nucleotomy</w:t>
            </w:r>
            <w:proofErr w:type="spellEnd"/>
            <w:r w:rsidRPr="00223B81">
              <w:t xml:space="preserve"> as a form of therapy in refractory pain of the trigeminal nerve and cancer pain in the head and neck area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9A70CD1" w14:textId="7B4F951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Kostron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8A3831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3EA03E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 xml:space="preserve">Wiener </w:t>
            </w:r>
            <w:proofErr w:type="spellStart"/>
            <w:r w:rsidRPr="00223B81">
              <w:t>klinische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Wochenschrift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33A4348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Full-text not available</w:t>
            </w:r>
          </w:p>
        </w:tc>
      </w:tr>
      <w:tr w:rsidR="00223B81" w:rsidRPr="00223B81" w14:paraId="4B8577D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901D8D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Evaluation and interpretation of the therapeutic effectiveness of the </w:t>
            </w:r>
            <w:proofErr w:type="spellStart"/>
            <w:r w:rsidRPr="00223B81">
              <w:t>epicranial</w:t>
            </w:r>
            <w:proofErr w:type="spellEnd"/>
            <w:r w:rsidRPr="00223B81">
              <w:t xml:space="preserve"> nerves blocks in migraine patients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6E86143" w14:textId="7C56B05C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Caputti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BE800C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014DF39" w14:textId="06037A26" w:rsidR="003A7509" w:rsidRPr="00AC0BF4" w:rsidRDefault="00AC0BF4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proofErr w:type="spellStart"/>
            <w:r>
              <w:t>Confinia</w:t>
            </w:r>
            <w:proofErr w:type="spellEnd"/>
            <w:r>
              <w:t xml:space="preserve"> </w:t>
            </w:r>
            <w:proofErr w:type="spellStart"/>
            <w:r>
              <w:t>Cephalalgica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4BC479E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1087AFA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A538D0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Generalized somatic dysesthesias induced by stimulation of teeth with cold water: An unreported form of brainstem integrative synesthesia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2556303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deAssisAquinoGondim</w:t>
            </w:r>
            <w:proofErr w:type="spellEnd"/>
          </w:p>
          <w:p w14:paraId="30C44966" w14:textId="5EA49636" w:rsidR="003A7509" w:rsidRPr="00C6076E" w:rsidRDefault="00543014" w:rsidP="00223B81">
            <w:pPr>
              <w:ind w:firstLineChars="0" w:firstLine="0"/>
              <w:jc w:val="center"/>
            </w:pPr>
            <w:r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540A9B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CBACAC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Neurological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5015E3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Letter to editor</w:t>
            </w:r>
          </w:p>
        </w:tc>
      </w:tr>
      <w:tr w:rsidR="00223B81" w:rsidRPr="00223B81" w14:paraId="52FB168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06B884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Understanding cervicogenic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858762A" w14:textId="4BF8B056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Chua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4BA300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5D25A3C" w14:textId="7C62E564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Anesthesiology &amp; Pain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1DC7ED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Brief commentary</w:t>
            </w:r>
          </w:p>
        </w:tc>
      </w:tr>
      <w:tr w:rsidR="00223B81" w:rsidRPr="00223B81" w14:paraId="132F7FD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59B649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outcomes of interventional pain management for treatment of intractable headaches refractory to conventional medical managements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56F2696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Taimoorazy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04281CA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1DF7262" w14:textId="587A54C9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</w:t>
            </w:r>
            <w:r w:rsidR="00AA3FAF" w:rsidRPr="00223B81">
              <w:t>al</w:t>
            </w:r>
            <w:r w:rsidRPr="00223B81">
              <w:t>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433D2E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0B3FDC0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048990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Spinocerebellar projections in the pigeon with special reference to the neck region of the body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C244CCF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Necker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A366C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2ABE33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738DB3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No mammals</w:t>
            </w:r>
          </w:p>
        </w:tc>
      </w:tr>
      <w:tr w:rsidR="00223B81" w:rsidRPr="00223B81" w14:paraId="3BB5D89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BE9A23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Anesthetic blockade of the greater occipital nerve in migraine prophylaxis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D01A486" w14:textId="55DD8DF9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Piovesan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311828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62B384E" w14:textId="5605980A" w:rsidR="003A7509" w:rsidRPr="00AC0BF4" w:rsidRDefault="00AC0BF4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proofErr w:type="spellStart"/>
            <w:r>
              <w:t>Arquivos</w:t>
            </w:r>
            <w:proofErr w:type="spellEnd"/>
            <w:r>
              <w:t xml:space="preserve"> De Neuro-</w:t>
            </w:r>
            <w:proofErr w:type="spellStart"/>
            <w:r>
              <w:t>Psiquiatria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631BC73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41C0DBD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A427291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TRPA1 antagonism in a pre-clinical model of migraine: Modulation of the </w:t>
            </w:r>
            <w:r w:rsidRPr="00223B81">
              <w:lastRenderedPageBreak/>
              <w:t>inflammatory pathway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232057B" w14:textId="1DEAA8AA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lastRenderedPageBreak/>
              <w:t xml:space="preserve">DeMartini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409339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00D4E6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Neurological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98656E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6E49B6A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EBDE374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Comparison of masseter muscle referred sensations after mechanical and glutamate stimulation: a randomized, double-blind, controlled, cross-over study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5CB9CA6" w14:textId="35CB51C3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Exposto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F457F6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8351F8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907761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185658F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CF1194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Dorsal mesencephalic projections to pons, medulla, and spinal cord in the cat: limbic and non-limbic components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862C4BA" w14:textId="7EE703BE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Cowie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02205E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4499C8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706BB9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66D706E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39F7A1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Somatotopy in the Medullary Dorsal Horn </w:t>
            </w:r>
            <w:proofErr w:type="gramStart"/>
            <w:r w:rsidRPr="00223B81">
              <w:t>As</w:t>
            </w:r>
            <w:proofErr w:type="gramEnd"/>
            <w:r w:rsidRPr="00223B81">
              <w:t xml:space="preserve"> a Basis for Orofacial Reflex Behavior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81B519E" w14:textId="0C1FB09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Panneton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16FA0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2DC335A" w14:textId="70E88B1C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 xml:space="preserve">Frontiers in </w:t>
            </w:r>
            <w:r w:rsidR="00AA3FAF" w:rsidRPr="00223B81">
              <w:t>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4AAC86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3C8D245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230FD4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organization and activity patterns of the anterior and posterior heads of the guinea pig digastric muscle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C713E19" w14:textId="4C0797D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Lev-Tov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680C7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5B3F53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3D34F1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023F1C6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DB78C9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Effect of trigeminal tractotomy on behavioral response to dental pulp stimulation in the monkey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5999A81" w14:textId="3B401DCA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Young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C9274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FF55FA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Neurosurgery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364849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55F37C5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A324256" w14:textId="6BAAE7B5" w:rsidR="003A7509" w:rsidRPr="00223B81" w:rsidRDefault="003A7509" w:rsidP="00AC0BF4">
            <w:pPr>
              <w:ind w:firstLineChars="0" w:firstLine="0"/>
              <w:jc w:val="left"/>
            </w:pPr>
            <w:r w:rsidRPr="00223B81">
              <w:t>Stomach-Sleepers</w:t>
            </w:r>
            <w:r w:rsidR="00AC0BF4">
              <w:t>’</w:t>
            </w:r>
            <w:r w:rsidRPr="00223B81">
              <w:t xml:space="preserve">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527B4B1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Dalton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4B8D7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07E092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Massage &amp; Bodywork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E322CF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7CBA778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8F6A89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The </w:t>
            </w:r>
            <w:proofErr w:type="spellStart"/>
            <w:r w:rsidRPr="00223B81">
              <w:t>cervicosenic</w:t>
            </w:r>
            <w:proofErr w:type="spellEnd"/>
            <w:r w:rsidRPr="00223B81">
              <w:t xml:space="preserve">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9AE9A86" w14:textId="5FF68EE9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Dvorak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6ACF4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E9EFDBB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Therapeutische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Umschau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1478E37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4F3B0FA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8899F6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An anatomical review of pain sensation processing in the trigeminal nerve of the head and neck region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2B55FB9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Takahashi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326419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DAEB0E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Neuro-</w:t>
            </w:r>
            <w:proofErr w:type="spellStart"/>
            <w:r w:rsidRPr="00223B81">
              <w:t>Ophtalmology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11C50AC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4E2C289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7D3EBE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Peripheral and central distribution of </w:t>
            </w:r>
            <w:proofErr w:type="spellStart"/>
            <w:r w:rsidRPr="00223B81">
              <w:t>fibres</w:t>
            </w:r>
            <w:proofErr w:type="spellEnd"/>
            <w:r w:rsidRPr="00223B81">
              <w:t xml:space="preserve"> of the mesencephalic trigeminal root in the rat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80D06C3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Matesz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76C9092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97124B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 Letters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49A4A9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7A32066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F1F243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Effect of the dental implant surgery on the pain threshold of head and neck region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8BD449F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Ishigaki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FFE5E2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5DCD9D0" w14:textId="0CA8C813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Europ</w:t>
            </w:r>
            <w:r w:rsidR="00AC0BF4">
              <w:t>ean Journal of Pain Supplements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49D0A5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Poster</w:t>
            </w:r>
          </w:p>
        </w:tc>
      </w:tr>
      <w:tr w:rsidR="00223B81" w:rsidRPr="00223B81" w14:paraId="655A9CA0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81EACA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Ultrasound-guided C2 nerve block as a treatment for </w:t>
            </w:r>
            <w:proofErr w:type="spellStart"/>
            <w:r w:rsidRPr="00223B81">
              <w:t>trigemeninal</w:t>
            </w:r>
            <w:proofErr w:type="spellEnd"/>
            <w:r w:rsidRPr="00223B81">
              <w:t xml:space="preserve"> neuralgia: A case report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BD1E345" w14:textId="64E30E5F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Shivazad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E08CA2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861B223" w14:textId="00E4AA97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Region</w:t>
            </w:r>
            <w:r w:rsidR="00AC0BF4">
              <w:t>al Anesthesia and Pain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6FBCFA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525B0A7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037873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 comparison of pain control between occipital nerve block and occipital nerve radiofrequency; A retrospective cohort study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D4BCBDB" w14:textId="4515F03E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Pathak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D8803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FBB1717" w14:textId="18E57F2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 xml:space="preserve">Pain </w:t>
            </w:r>
            <w:r w:rsidR="00AA3FAF" w:rsidRPr="00223B81">
              <w:t>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771C33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Poster</w:t>
            </w:r>
          </w:p>
        </w:tc>
      </w:tr>
      <w:tr w:rsidR="00223B81" w:rsidRPr="00223B81" w14:paraId="6CC1F3D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9AD703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Convergence of nociceptive information from temporomandibular joint and tooth pulp afferents on C1 spinal neurons in the rat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DB7BB69" w14:textId="3D90B251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Nishikawa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C9D908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3BE354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Life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30FB5E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4EE279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7B3B32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H3-HRP analysis of the nerve supply to primate teeth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3EBCBEE" w14:textId="2148A72B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Chiego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FB6C9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3818B8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Dental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BD2E6D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18EE1F1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F72684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Innervation of rat and human dura mater and </w:t>
            </w:r>
            <w:proofErr w:type="spellStart"/>
            <w:r w:rsidRPr="00223B81">
              <w:t>pericranial</w:t>
            </w:r>
            <w:proofErr w:type="spellEnd"/>
            <w:r w:rsidRPr="00223B81">
              <w:t xml:space="preserve"> tissues by meningeal afferents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3177F7A" w14:textId="2BA7696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Schueler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8245C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BBB068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0F66E3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52B1922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22BDEF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Altered Brainstem Pain Modulating Circuitry Functional Connectivity in Chronic Painful Temporomandibular Disorder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816991A" w14:textId="5D40AA9D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Mills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5FC6AB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2021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F95D68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253C4C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3F8B43D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14116C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Trigeminal pathways for hypertonic saline- and light-evoked corneal reflexes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9126DC9" w14:textId="29AA7483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Rahman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30A8E0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6F7E8A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Neuroscience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FA5326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511787B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CB5EE8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Integration in trigeminal premotor </w:t>
            </w:r>
            <w:proofErr w:type="spellStart"/>
            <w:r w:rsidRPr="00223B81">
              <w:t>interneurones</w:t>
            </w:r>
            <w:proofErr w:type="spellEnd"/>
            <w:r w:rsidRPr="00223B81">
              <w:t xml:space="preserve"> in the cat. 2. Functional characteristics of </w:t>
            </w:r>
            <w:proofErr w:type="spellStart"/>
            <w:r w:rsidRPr="00223B81">
              <w:t>neurones</w:t>
            </w:r>
            <w:proofErr w:type="spellEnd"/>
            <w:r w:rsidRPr="00223B81">
              <w:t xml:space="preserve"> in the subnucleus-gamma of the oral nucleus of </w:t>
            </w:r>
            <w:r w:rsidRPr="00223B81">
              <w:lastRenderedPageBreak/>
              <w:t xml:space="preserve">the spinal trigeminal tract with a projection to the digastric </w:t>
            </w:r>
            <w:proofErr w:type="spellStart"/>
            <w:r w:rsidRPr="00223B81">
              <w:t>motoneurone</w:t>
            </w:r>
            <w:proofErr w:type="spellEnd"/>
            <w:r w:rsidRPr="00223B81">
              <w:t xml:space="preserve"> subnucleus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A8BF0E7" w14:textId="620F975B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lastRenderedPageBreak/>
              <w:t xml:space="preserve">Olsson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5A5BB8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2186D0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Experimental 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E1AB17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405445C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EBF1F27" w14:textId="6CE2323F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</w:t>
            </w:r>
            <w:r w:rsidR="00AC0BF4" w:rsidRPr="00223B81">
              <w:t>ervical spinal-cord neurons receiving sensory input from the cranial vasculature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51AC534" w14:textId="0F3BFE35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Lambert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F0C31E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1E37F3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F93B35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5B90496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C05EB6F" w14:textId="77777777" w:rsidR="003A7509" w:rsidRPr="00223B81" w:rsidRDefault="003A7509" w:rsidP="00223B81">
            <w:pPr>
              <w:ind w:firstLineChars="0" w:firstLine="0"/>
              <w:jc w:val="left"/>
            </w:pPr>
            <w:proofErr w:type="spellStart"/>
            <w:r w:rsidRPr="00223B81">
              <w:t>Trigemino</w:t>
            </w:r>
            <w:proofErr w:type="spellEnd"/>
            <w:r w:rsidRPr="00223B81">
              <w:t>-cervical reflex in patients with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A26031B" w14:textId="46F6BEB5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Milanov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51C6F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F4C1A9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5A44FA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502AC2A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95CD3C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Neck muscle length modulates nociceptive reflex evoked by noxious irritant application to rat neck tissues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9364215" w14:textId="0995136E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Shin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91D49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29601E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Experimental 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FD381E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DA64200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37A245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On the functional neuroanatomy of neck pain - Introduction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FD0BC66" w14:textId="0EDE0BAA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Goadsby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5D887F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EE60D8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AA2410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372855F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E3ECF44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Anterior and posterior neck muscle activation during a variety of biting tasks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AA258AA" w14:textId="7065BEFF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Hellmann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130606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7F01A4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Journal of Oral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12DDA9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7399228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1767631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neck: A pain generator for the head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8A0F5A3" w14:textId="316A8A1A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Chua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1FC652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AC0609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 Management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145F37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7EB4222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4CF2F4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Facial injections of pruritogens and </w:t>
            </w:r>
            <w:proofErr w:type="spellStart"/>
            <w:r w:rsidRPr="00223B81">
              <w:t>algogens</w:t>
            </w:r>
            <w:proofErr w:type="spellEnd"/>
            <w:r w:rsidRPr="00223B81">
              <w:t xml:space="preserve"> excite partly overlapping populations of primary and second-order trigeminal neurons in mice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B566548" w14:textId="54943BC5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Akiyama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C78398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B429BC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55EBE3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1C721AB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F8F8B75" w14:textId="77777777" w:rsidR="003A7509" w:rsidRPr="00223B81" w:rsidRDefault="003A7509" w:rsidP="00223B81">
            <w:pPr>
              <w:ind w:firstLineChars="0" w:firstLine="0"/>
              <w:jc w:val="left"/>
            </w:pPr>
            <w:proofErr w:type="spellStart"/>
            <w:r w:rsidRPr="00223B81">
              <w:t>Corticotrigeminal</w:t>
            </w:r>
            <w:proofErr w:type="spellEnd"/>
            <w:r w:rsidRPr="00223B81">
              <w:t xml:space="preserve"> motor pathway in the rat--II. </w:t>
            </w:r>
            <w:proofErr w:type="spellStart"/>
            <w:r w:rsidRPr="00223B81">
              <w:t>Anterio</w:t>
            </w:r>
            <w:proofErr w:type="spellEnd"/>
            <w:r w:rsidRPr="00223B81">
              <w:t>- and retrograde HRP labeling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0E5FE6B" w14:textId="24BC6D3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Ohta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25E0C7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D10F08B" w14:textId="79073758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Biochemistry &amp; Physiology A-Comparative 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DE8F0F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6C6D6C5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0779B3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 case with trigeminal herpes zoster manifesting a long lesion of the spinal trigeminal nucleus and tract on MR T2-weighted image</w:t>
            </w:r>
          </w:p>
          <w:p w14:paraId="678BA5A3" w14:textId="77777777" w:rsidR="003A7509" w:rsidRPr="00223B81" w:rsidRDefault="003A7509" w:rsidP="00223B81">
            <w:pPr>
              <w:ind w:firstLineChars="0" w:firstLine="0"/>
              <w:jc w:val="left"/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35E51AD" w14:textId="5A345F43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Nagane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470568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4B45C7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Clinical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64C693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27F83D0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2937662" w14:textId="2F37A27B" w:rsidR="003A7509" w:rsidRPr="00AC0BF4" w:rsidRDefault="003A7509" w:rsidP="00223B81">
            <w:pPr>
              <w:ind w:firstLineChars="0" w:firstLine="0"/>
              <w:jc w:val="left"/>
              <w:rPr>
                <w:rFonts w:eastAsiaTheme="minorEastAsia"/>
              </w:rPr>
            </w:pPr>
            <w:r w:rsidRPr="00223B81">
              <w:t>Degeneration of the primary snout sensory afferents in the cervical spinal cords following the infraorbital ne</w:t>
            </w:r>
            <w:r w:rsidR="00AC0BF4">
              <w:t>rve transection in some mammals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E316604" w14:textId="38C2C742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Chang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238E2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71255AC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Anatomischer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Anzeiger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156D94F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Not neurophysiological study</w:t>
            </w:r>
          </w:p>
        </w:tc>
      </w:tr>
      <w:tr w:rsidR="00223B81" w:rsidRPr="00223B81" w14:paraId="10A5D4F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9499D4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Acute injury of the neck: anatomical and pathological basis of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823193D" w14:textId="2AFF7876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Taylor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58C036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1983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EA06E9E" w14:textId="2C4A372F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An</w:t>
            </w:r>
            <w:r w:rsidR="00AC0BF4">
              <w:t>nals of the Academy of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BC0706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02F2401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4E72F7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 comparative study of changes operated by sympathetic nervous system activation on spindle afferent discharge and on tonic vibration reflex in rabbit jaw muscles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414C31E" w14:textId="5E610DB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Passatore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B8E3C6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D3578CA" w14:textId="75BACC2E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 xml:space="preserve">Journal </w:t>
            </w:r>
            <w:r w:rsidR="00AC0BF4">
              <w:t>of the Autonomic Nervous System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767C4B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5285B0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291F1F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Bilateral greater orbital nerve block: Efficacy in </w:t>
            </w:r>
            <w:proofErr w:type="spellStart"/>
            <w:r w:rsidRPr="00223B81">
              <w:t>postdural</w:t>
            </w:r>
            <w:proofErr w:type="spellEnd"/>
            <w:r w:rsidRPr="00223B81">
              <w:t xml:space="preserve"> puncture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3FBBC36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Nair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7058A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F775520" w14:textId="2DC493B1" w:rsidR="003A7509" w:rsidRPr="00AC0BF4" w:rsidRDefault="00AC0BF4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>
              <w:t xml:space="preserve">Saudi Journal of </w:t>
            </w:r>
            <w:proofErr w:type="spellStart"/>
            <w:r>
              <w:t>Anaesthesia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4009705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Letter to editor</w:t>
            </w:r>
          </w:p>
        </w:tc>
      </w:tr>
      <w:tr w:rsidR="00223B81" w:rsidRPr="00223B81" w14:paraId="52CEEEE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839F59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Opioid involvement in electromyographic (EMG) responses induced by injection of inflammatory irritant into deep neck tissues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28E681C" w14:textId="44B148A5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Hu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3CC8F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4EB6C4E" w14:textId="1650C83A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S</w:t>
            </w:r>
            <w:r w:rsidR="00AC0BF4">
              <w:t>omatosensory and Motor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6A6A9D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39D0F26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7B0048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Cervical plexus block helps in diagnosis of orofacial pain originating from cervical structures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6AAD5D5" w14:textId="17585E2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Shinozaki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2DA32F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7DE3842" w14:textId="23AE9C44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Tohoku J</w:t>
            </w:r>
            <w:r w:rsidR="00AC0BF4">
              <w:t>ournal of Experimental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320FD2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1BBD3AD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B5AE4F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Neuroanatomical principles of the craniomandibular system. The basal ganglia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90DDDF9" w14:textId="0482F11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Schupp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4096CE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8A4A746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Manuelle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Medizin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6FB206D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Targets not interest of study</w:t>
            </w:r>
          </w:p>
        </w:tc>
      </w:tr>
      <w:tr w:rsidR="00223B81" w:rsidRPr="00223B81" w14:paraId="3B26892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5878174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Effects of sympathetic nerve stimulation on intra-oral mechanoreceptor activity in the cat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A7E2B2F" w14:textId="5D4F8F83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Cash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54BA76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262FC7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A7BD1A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5C342D1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0693BD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Suboccipital injection for migraine prevention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029A5A8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KameshArun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08C5163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BF2234F" w14:textId="7EDB6840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</w:t>
            </w:r>
            <w:r w:rsidR="00AA3FAF" w:rsidRPr="00223B81">
              <w:t>la</w:t>
            </w:r>
            <w:r w:rsidRPr="00223B81">
              <w:t>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34153A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5907411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8B21D3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lastRenderedPageBreak/>
              <w:t>Somatotopic organization of raccoon dorsal column nuclei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4170B90" w14:textId="7BBA26A9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Johnson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236B9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0E2E58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B8D5BC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4B1F02E2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65971C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trigeminal tract and nucleus procedures in treatment of atypical 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06F2913" w14:textId="152A813F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Kanpolat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3879DD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4BDFB3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Surgical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75B783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4D17BF7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FBE8771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Trigeminal proprioceptive projections to the hypoglossal nucleus and the cervical ventral gray column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B5EF71B" w14:textId="7B8CEDC5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Mizuno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53AA6C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1970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61D8760" w14:textId="24E31B4A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5DF283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12AD4B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3193C7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Stimulation of the greater occipital nerve induces increased central excitability of </w:t>
            </w:r>
            <w:proofErr w:type="spellStart"/>
            <w:r w:rsidRPr="00223B81">
              <w:t>dural</w:t>
            </w:r>
            <w:proofErr w:type="spellEnd"/>
            <w:r w:rsidRPr="00223B81">
              <w:t xml:space="preserve"> afferent input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A320504" w14:textId="29BA54BA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Bartsch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BF7252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357F8B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0ED784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381CA8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32F436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Tympanic Resonance Hypothesis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73A94DC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Boedts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7D6D9F6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2020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189FAD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Frontiers in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56875F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0213B34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542D842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Central neuropathic pain: Multiple sclerosis-related headaches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06F3F8F" w14:textId="7ED10ED0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Charlson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E613C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391E0C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Case-based diagnosis and management of headache disorders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E684B0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Book chapter</w:t>
            </w:r>
          </w:p>
        </w:tc>
      </w:tr>
      <w:tr w:rsidR="00223B81" w:rsidRPr="00223B81" w14:paraId="4A6B648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8D23D6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Association of neck pain with symptoms of temporomandibular dysfunction in the general adult population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48A8D9C" w14:textId="6137AECC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Chiancaglini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67677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3F86F1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Scandinavian Journal of Rehabilitation Medicine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CCA5D5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DDCEB19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4FBDF3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Immediate effects of manual therapy targeting the cervical or orofacial region in neck symptoms in patients with myofascial temporomandibular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DB00559" w14:textId="30A47AD1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Salom</w:t>
            </w:r>
            <w:proofErr w:type="spellEnd"/>
            <w:r w:rsidRPr="00C6076E">
              <w:t xml:space="preserve">-Moreno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4C9E72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0B6538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Manual Therapy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DAF6C5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4B158B2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F340AA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C1 retrograde spinal cord stimulation for trigeminal deafferentation pain. case study with long-term follow-up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A898A12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Richter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82D9D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BEBC5F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Neuromodulation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F16DC7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Conference abstract</w:t>
            </w:r>
          </w:p>
        </w:tc>
      </w:tr>
      <w:tr w:rsidR="00223B81" w:rsidRPr="00223B81" w14:paraId="16E3BBE3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487B4D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Referred pain after painful stimulation of the greater occipital nerve in humans: Evidence of convergence of cervical afferences on trigeminal nuclei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531E1B1" w14:textId="2D913C98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Piovesan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5AC1C9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6D2A0A8" w14:textId="2002BE62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</w:t>
            </w:r>
            <w:r w:rsidR="00AA3FAF" w:rsidRPr="00223B81">
              <w:t>la</w:t>
            </w:r>
            <w:r w:rsidRPr="00223B81">
              <w:t>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96A1CE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58FF57E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9ABB182" w14:textId="52123250" w:rsidR="003A7509" w:rsidRPr="00223B81" w:rsidRDefault="003A7509" w:rsidP="00AC0BF4">
            <w:pPr>
              <w:ind w:firstLineChars="0" w:firstLine="0"/>
              <w:jc w:val="left"/>
            </w:pPr>
            <w:r w:rsidRPr="00223B81">
              <w:t>Facial neuralgia and the cervical vertebral column (author</w:t>
            </w:r>
            <w:r w:rsidR="00AC0BF4">
              <w:t>’</w:t>
            </w:r>
            <w:r w:rsidRPr="00223B81">
              <w:t xml:space="preserve">s </w:t>
            </w:r>
            <w:proofErr w:type="spellStart"/>
            <w:r w:rsidRPr="00223B81">
              <w:t>transl</w:t>
            </w:r>
            <w:proofErr w:type="spellEnd"/>
            <w:r w:rsidRPr="00223B81">
              <w:t>)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AC58AFE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Tilscher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5771DFA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1978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69EF2E6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Münchener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Medizinischer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Wochenschrift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5AD92F7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Brief commentary</w:t>
            </w:r>
          </w:p>
        </w:tc>
      </w:tr>
      <w:tr w:rsidR="00223B81" w:rsidRPr="00223B81" w14:paraId="17D9D0E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6DCFB8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Behavioral characteristics and c-</w:t>
            </w:r>
            <w:proofErr w:type="spellStart"/>
            <w:r w:rsidRPr="00223B81">
              <w:t>Fos</w:t>
            </w:r>
            <w:proofErr w:type="spellEnd"/>
            <w:r w:rsidRPr="00223B81">
              <w:t xml:space="preserve"> expression in the medullary dorsal horn in a rat model for orofacial cancer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6AB7C54" w14:textId="00E23C2D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Ono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CDAB7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C388F6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European Journal of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0E18C8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55E6BF0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A309D2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An experimental model of hyper-irritability in the trigeminal skin field of the rat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60A2D46" w14:textId="4D68D66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Sakai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77A82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1979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C7BA6B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EB737D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16A6D9A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03C1E2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Studies on pain conduction in the trigeminal nerve. A contribution to the surgical treatment of 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D5E96FC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Sjoqvist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60D33E4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1938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0D9C586" w14:textId="6A37F18F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A</w:t>
            </w:r>
            <w:r w:rsidR="00AC0BF4">
              <w:t xml:space="preserve">cta </w:t>
            </w:r>
            <w:proofErr w:type="spellStart"/>
            <w:r w:rsidR="00AC0BF4">
              <w:t>Psychiatrica</w:t>
            </w:r>
            <w:proofErr w:type="spellEnd"/>
            <w:r w:rsidR="00AC0BF4">
              <w:t xml:space="preserve"> et </w:t>
            </w:r>
            <w:proofErr w:type="spellStart"/>
            <w:r w:rsidR="00AC0BF4">
              <w:t>Neurologica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4D7B84E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26ABD084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9F9A56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EHMTI-0009. A particular case of cluster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94C2FCD" w14:textId="1DE1F049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Tertan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D27FD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E6D975A" w14:textId="3E4010DE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 w:rsidRPr="00223B81">
              <w:t>Journal of Headac</w:t>
            </w:r>
            <w:r w:rsidR="00AC0BF4">
              <w:t>he and 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D5450C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Abstract</w:t>
            </w:r>
          </w:p>
        </w:tc>
      </w:tr>
      <w:tr w:rsidR="00223B81" w:rsidRPr="00223B81" w14:paraId="5F90747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86B12E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Suboccipital neurostimulation in medically intractable chronic daily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EC1BFB4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Bartsch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9E4194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EABB90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Lancet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CE6066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Brief commentary</w:t>
            </w:r>
          </w:p>
        </w:tc>
      </w:tr>
      <w:tr w:rsidR="00223B81" w:rsidRPr="00223B81" w14:paraId="252447B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3D1956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Neuron-glia interaction is a key mechanism underlying persistent orofacial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A5E9BBD" w14:textId="4A48A708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Iwata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A89886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94218E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Oral Sciences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7C329B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7A7B0AFC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BE02971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Onion-skin Hemifacial Dysesthesia Successfully Treated with C2-4 Anterior Cervical Decompression and Fusion: A Case Report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61A2DED1" w14:textId="150E644D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Kuraishi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4AE10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2C95576" w14:textId="64C27BDE" w:rsidR="003A7509" w:rsidRPr="00AC0BF4" w:rsidRDefault="00AC0BF4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proofErr w:type="spellStart"/>
            <w:r>
              <w:t>Nmc</w:t>
            </w:r>
            <w:proofErr w:type="spellEnd"/>
            <w:r>
              <w:t xml:space="preserve"> Case Report Journal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0E05DC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F89D02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D61685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Functional organization of trigeminal subnucleus </w:t>
            </w:r>
            <w:proofErr w:type="spellStart"/>
            <w:r w:rsidRPr="00223B81">
              <w:t>interpolaris</w:t>
            </w:r>
            <w:proofErr w:type="spellEnd"/>
            <w:r w:rsidRPr="00223B81">
              <w:t xml:space="preserve">: nociceptive and innocuous afferent inputs, projections to thalamus, cerebellum, and spinal cord, </w:t>
            </w:r>
            <w:r w:rsidRPr="00223B81">
              <w:lastRenderedPageBreak/>
              <w:t>and descending modulation from periaqueductal gray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CEDE40B" w14:textId="5339D67F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lastRenderedPageBreak/>
              <w:t xml:space="preserve">Hayashi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526A8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DCE036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364728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9D783F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503235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Peripheral and Central Mechanisms of Persistent Orofacial Pain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4706D4B" w14:textId="674C033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Shinoda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81DAD2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588F2B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Frontiers in Neuroscience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1D3EA7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Review</w:t>
            </w:r>
          </w:p>
        </w:tc>
      </w:tr>
      <w:tr w:rsidR="00223B81" w:rsidRPr="00223B81" w14:paraId="512FE5C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BEF852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Efferent connections of the brainstem trigeminal complex with the facial nucleus of the rat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ED4403A" w14:textId="09D17834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Erzurumlu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FB0ABB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1979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7B9541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BDCD04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12827AA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58FBC6B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Reappraisal of somatotopic tactile representation within trigeminal subnucleus </w:t>
            </w:r>
            <w:proofErr w:type="spellStart"/>
            <w:r w:rsidRPr="00223B81">
              <w:t>caudalis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</w:tcPr>
          <w:p w14:paraId="663C31A1" w14:textId="626F01DE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Yokota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48E8B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E15B98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Neurophysiology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27A8D1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3A8BC4C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2A90CD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Mesencephalic trigeminal nucleus neurons supplying the jaw closing muscles have no spinal projection: a fluorescent double-labeling study in birds and mammals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A5EBE0C" w14:textId="4FF133CE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Lucchi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FAD845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EBAB6F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Anatomical Record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C0B5A1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65FA38B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F09B8E7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Severe headache with eye involvement from herpes zoster </w:t>
            </w:r>
            <w:proofErr w:type="spellStart"/>
            <w:r w:rsidRPr="00223B81">
              <w:t>ophthalmicus</w:t>
            </w:r>
            <w:proofErr w:type="spellEnd"/>
            <w:r w:rsidRPr="00223B81">
              <w:t>, trigeminal tract, and brainstem nuclei</w:t>
            </w:r>
          </w:p>
          <w:p w14:paraId="530733E2" w14:textId="77777777" w:rsidR="003A7509" w:rsidRPr="00223B81" w:rsidRDefault="003A7509" w:rsidP="00223B81">
            <w:pPr>
              <w:ind w:firstLineChars="0" w:firstLine="0"/>
              <w:jc w:val="left"/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65E4742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Siritho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79E086D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1EA84D0" w14:textId="34BC38A9" w:rsidR="003A7509" w:rsidRPr="00AC0BF4" w:rsidRDefault="00AC0BF4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r>
              <w:t>Case Reports in Radiology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CF60A6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237AC16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B5F4EE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Massaging over the greater occipital nerve reduces the intensity of migraine attacks: evidence for inhibitory </w:t>
            </w:r>
            <w:proofErr w:type="spellStart"/>
            <w:r w:rsidRPr="00223B81">
              <w:t>trigemino</w:t>
            </w:r>
            <w:proofErr w:type="spellEnd"/>
            <w:r w:rsidRPr="00223B81">
              <w:t>-cervical convergence mechanisms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263B0A4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Piovesan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657C558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DEAD11F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Arquivos</w:t>
            </w:r>
            <w:proofErr w:type="spellEnd"/>
            <w:r w:rsidRPr="00223B81">
              <w:t xml:space="preserve"> de Neuro-</w:t>
            </w:r>
            <w:proofErr w:type="spellStart"/>
            <w:r w:rsidRPr="00223B81">
              <w:t>Psiquiatria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6465765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5047BE0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75A4A4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Central sensitization induced in trigeminal and upper cervical dorsal horn neurons by noxious stimulation of deep cervical paraspinal tissues in rats with minimal surgical trauma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DE193E4" w14:textId="5C075A04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Vernon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1F3477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D09EF4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Manipulative &amp; Physiological Therapeutics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12C8C0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70DD527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81114F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Cluster-like headache: Association with cervical syringomyelia and Arnold-Chiari malformation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25E4AB5" w14:textId="479FCDBD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Seijo</w:t>
            </w:r>
            <w:proofErr w:type="spellEnd"/>
            <w:r w:rsidRPr="00C6076E">
              <w:t xml:space="preserve">-Martinez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64C8B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374C87B" w14:textId="59874B3E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</w:t>
            </w:r>
            <w:r w:rsidR="00AA3FAF" w:rsidRPr="00223B81">
              <w:t>la</w:t>
            </w:r>
            <w:r w:rsidRPr="00223B81">
              <w:t>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23BF2C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36D7ADBD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5B1BCC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Trigeminal neuralgia and chiropractic care: a case report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EA50460" w14:textId="41341CBD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Rodine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BA5B31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ED52A0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the Canadian Chiropractic Association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2B9A40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22A692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B3100C8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Vertical dimension. Part 2: The changes in electrical activity of the cervical muscles upon varying the vertical dimension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1F7B951" w14:textId="2449F724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Miralles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78D4F4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3269A7B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Cranio-the Journal of Craniomandibular &amp; Sleep Practice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B010BB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E5855B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011E86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Editorial: Mechanisms of Orofacial Pain and Sex Differences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A0E417E" w14:textId="037077BA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Liu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FF3497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2021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356AAD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Frontiers in Integrated Neuroscience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EE47B3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046CEF4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DDCE17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 case of recurrent myelitis associated with anti-myelin oligodendrocyte glycoprotein antibody that developed only as localized short spinal cord lesions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DC33EFF" w14:textId="0230FAC3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Matsumoto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54742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E6352BE" w14:textId="6875A690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</w:rPr>
            </w:pPr>
            <w:proofErr w:type="spellStart"/>
            <w:r w:rsidRPr="00223B81">
              <w:t>Rinsho</w:t>
            </w:r>
            <w:proofErr w:type="spellEnd"/>
            <w:r w:rsidRPr="00223B81">
              <w:t xml:space="preserve"> </w:t>
            </w:r>
            <w:proofErr w:type="spellStart"/>
            <w:r w:rsidRPr="00223B81">
              <w:t>Shinkeigaku</w:t>
            </w:r>
            <w:proofErr w:type="spellEnd"/>
            <w:r w:rsidRPr="00223B81">
              <w:t xml:space="preserve"> - Clinic</w:t>
            </w:r>
            <w:r w:rsidR="00AC0BF4">
              <w:t>al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369FF1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3CBD9410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22528CC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Projections of mechanoreceptive fields to cuneate-gracile and spinal trigeminal nuclear regions in sheep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69B136B" w14:textId="777777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Woudenberg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4644CCA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1970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86B37B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4466C8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The connection between CC and Orofacial region is not investigated</w:t>
            </w:r>
          </w:p>
        </w:tc>
      </w:tr>
      <w:tr w:rsidR="00223B81" w:rsidRPr="00223B81" w14:paraId="4547177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FE605A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A dual effect of sympathetic nerve stimulation on jaw muscle spindles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46748BD9" w14:textId="16EF574C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Passatore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25E10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8373B5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Journal of Autonomic Nervous System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9EC320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6CD0C0B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35C3EE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Involvement of trigeminal subnucleus </w:t>
            </w:r>
            <w:proofErr w:type="spellStart"/>
            <w:r w:rsidRPr="00223B81">
              <w:t>caudalis</w:t>
            </w:r>
            <w:proofErr w:type="spellEnd"/>
            <w:r w:rsidRPr="00223B81">
              <w:t xml:space="preserve"> (medullary dorsal horn) in craniofacial nociceptive reflex activity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4E5AB0A" w14:textId="2469674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Tsai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9DF5BE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8D65CE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Pain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2B6E08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Cervical region not investigated</w:t>
            </w:r>
          </w:p>
        </w:tc>
      </w:tr>
      <w:tr w:rsidR="00223B81" w:rsidRPr="00223B81" w14:paraId="599EC8E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F7DD0F9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Comparison of the effects of manipulation of the craniocervical joint </w:t>
            </w:r>
            <w:r w:rsidRPr="00223B81">
              <w:lastRenderedPageBreak/>
              <w:t>and thoracic spine on interincisal distance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8C6A59E" w14:textId="2E1FB683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lastRenderedPageBreak/>
              <w:t>Baillergeau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CC6AF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830C4B9" w14:textId="77777777" w:rsidR="003A7509" w:rsidRPr="00223B81" w:rsidRDefault="003A7509" w:rsidP="00223B81">
            <w:pPr>
              <w:ind w:firstLineChars="0" w:firstLine="0"/>
              <w:jc w:val="center"/>
            </w:pPr>
            <w:proofErr w:type="spellStart"/>
            <w:r w:rsidRPr="00223B81">
              <w:t>Kinesitherapie</w:t>
            </w:r>
            <w:proofErr w:type="spellEnd"/>
          </w:p>
        </w:tc>
        <w:tc>
          <w:tcPr>
            <w:tcW w:w="1826" w:type="dxa"/>
            <w:shd w:val="clear" w:color="auto" w:fill="auto"/>
            <w:vAlign w:val="center"/>
          </w:tcPr>
          <w:p w14:paraId="41F7C71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76BFE24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B8E1B3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The Role of the </w:t>
            </w:r>
            <w:proofErr w:type="spellStart"/>
            <w:r w:rsidRPr="00223B81">
              <w:t>Trigemino</w:t>
            </w:r>
            <w:proofErr w:type="spellEnd"/>
            <w:r w:rsidRPr="00223B81">
              <w:t xml:space="preserve"> Cervical Complex in Chronic Whiplash Associated Headache: A Cross Sectional Study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5B5CF09" w14:textId="2E20144C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Watson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AD47AD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47A4E0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30FF89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57D100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A59F8C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The greater occipital nerve and its spinal and brainstem afferent projections: A stereological and tract-tracing study in the rat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8A97203" w14:textId="7777777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>Garcia-</w:t>
            </w:r>
            <w:proofErr w:type="spellStart"/>
            <w:r w:rsidRPr="00C6076E">
              <w:t>Magro</w:t>
            </w:r>
            <w:proofErr w:type="spellEnd"/>
          </w:p>
        </w:tc>
        <w:tc>
          <w:tcPr>
            <w:tcW w:w="829" w:type="dxa"/>
            <w:shd w:val="clear" w:color="auto" w:fill="auto"/>
            <w:vAlign w:val="center"/>
          </w:tcPr>
          <w:p w14:paraId="0787ABC5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7AD54D6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4074208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Orofacial region not investigated</w:t>
            </w:r>
          </w:p>
        </w:tc>
      </w:tr>
      <w:tr w:rsidR="00223B81" w:rsidRPr="00223B81" w14:paraId="1DCBF40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9DD0F06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Blink reflex R2 amplitudes in cervicogenic headache, chronic tension-type headache and migraine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0962648" w14:textId="598CDCE3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Sand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B476E7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2006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E65FB6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969E03A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28ADBD8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45E6E8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Structure-function relationships in the rat brainstem subnucleus </w:t>
            </w:r>
            <w:proofErr w:type="spellStart"/>
            <w:r w:rsidRPr="00223B81">
              <w:t>interpolaris</w:t>
            </w:r>
            <w:proofErr w:type="spellEnd"/>
            <w:r w:rsidRPr="00223B81">
              <w:t>: VI. Cervical convergence in cells deafferented at birth and a potential primary afferent substrate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5C3797A" w14:textId="616B6BC4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Jacquin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71812E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1989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19978F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Comparative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7C16D4D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0534749A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420C223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The Clinical Features, Risk Factors, and Surgical Treatment of Cervicogenic Headache in Patients </w:t>
            </w:r>
            <w:proofErr w:type="gramStart"/>
            <w:r w:rsidRPr="00223B81">
              <w:t>With</w:t>
            </w:r>
            <w:proofErr w:type="gramEnd"/>
            <w:r w:rsidRPr="00223B81">
              <w:t xml:space="preserve"> Cervical Spine Disorders Requiring Surgery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7C49C4C" w14:textId="60AF52F5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Shimohata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CACD27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D123A27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Headache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F4DC2B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41C363E1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869E44D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Modular organization of the head retraction responses elicited by electrical painful stimulation of the facial skin in humans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1684C32" w14:textId="5F8ED8D4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Serrao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3FD50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0DD7172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Clinical Neurophysiology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A5609D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7AB7810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FDB771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Nerve growth factor injection into </w:t>
            </w:r>
            <w:proofErr w:type="spellStart"/>
            <w:r w:rsidRPr="00223B81">
              <w:t>semispinal</w:t>
            </w:r>
            <w:proofErr w:type="spellEnd"/>
            <w:r w:rsidRPr="00223B81">
              <w:t xml:space="preserve"> neck muscle evokes sustained facilitation of the jaw-opening reflex in anesthetized mice - possible implications for tension-type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2175A593" w14:textId="3FEC506B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Makovska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5DACA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9B4671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Experimental Neurology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8E4C07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4A383AE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CDD923A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 xml:space="preserve">Trigeminal excitation of dorsal neck </w:t>
            </w:r>
            <w:proofErr w:type="spellStart"/>
            <w:r w:rsidRPr="00223B81">
              <w:t>motoneurones</w:t>
            </w:r>
            <w:proofErr w:type="spellEnd"/>
            <w:r w:rsidRPr="00223B81">
              <w:t xml:space="preserve"> in the cat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B3FAD31" w14:textId="15EF803D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Alstermark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4E3D67E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1992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3A86143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Experimental 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DA817B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14D99C47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FFF71C4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Differences in sensory processing between chronic cervical zygapophysial joint pain patients with and without cervicogenic headache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5BC57F4" w14:textId="3E8EEB97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Chua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86E6E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2011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355461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Cephalgia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96FE60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CAC1F85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B4D0690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Probable relationship between trigeminal neuralgia and cervical column disease. Report of cases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501BA0C" w14:textId="2F2A7260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Ovalle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4B426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2008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49D6950C" w14:textId="3F08825C" w:rsidR="003A7509" w:rsidRPr="00AC0BF4" w:rsidRDefault="003A7509" w:rsidP="00AC0BF4">
            <w:pPr>
              <w:ind w:firstLineChars="0" w:firstLine="0"/>
              <w:jc w:val="center"/>
              <w:rPr>
                <w:rFonts w:eastAsiaTheme="minorEastAsia"/>
                <w:lang w:val="es-CL"/>
              </w:rPr>
            </w:pPr>
            <w:r w:rsidRPr="00223B81">
              <w:rPr>
                <w:lang w:val="es-CL"/>
              </w:rPr>
              <w:t>Revista de</w:t>
            </w:r>
            <w:r w:rsidR="00AC0BF4">
              <w:rPr>
                <w:lang w:val="es-CL"/>
              </w:rPr>
              <w:t xml:space="preserve"> la Sociedad Espanola del Dolor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820C82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76650996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241FB7E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Role of capsaicin-sensitive primary afferent inputs from the masseter muscle in the C1 spinal neurons responding to tooth-pulp stimulation in rats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185A0A3C" w14:textId="6A1F5B69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Takeda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147642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2005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3AD93901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Experimental 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A6CAE3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36A1189B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D2DBEDF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Somatostatin enhances tooth-pulp-evoked cervical dorsal horn neuronal activity in the rat via inhibition of GABAergic interneurons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7F0042C1" w14:textId="14517D40" w:rsidR="003A7509" w:rsidRPr="00C6076E" w:rsidRDefault="003A7509" w:rsidP="00223B81">
            <w:pPr>
              <w:ind w:firstLineChars="0" w:firstLine="0"/>
              <w:jc w:val="center"/>
            </w:pPr>
            <w:r w:rsidRPr="00C6076E">
              <w:t xml:space="preserve">Takahashi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80DECD6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2014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594397FF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Brain Research Bulletin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12AEBB4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  <w:tr w:rsidR="00223B81" w:rsidRPr="00223B81" w14:paraId="294F2B2F" w14:textId="77777777" w:rsidTr="00223B81">
        <w:trPr>
          <w:trHeight w:val="283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D39BF55" w14:textId="77777777" w:rsidR="003A7509" w:rsidRPr="00223B81" w:rsidRDefault="003A7509" w:rsidP="00223B81">
            <w:pPr>
              <w:ind w:firstLineChars="0" w:firstLine="0"/>
              <w:jc w:val="left"/>
            </w:pPr>
            <w:r w:rsidRPr="00223B81">
              <w:t>Prostaglandin E-2 potentiates the excitability of small diameter trigeminal root ganglion neurons projecting onto the superficial layer of the cervical dorsal horn in rats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0B6E1598" w14:textId="242DD977" w:rsidR="003A7509" w:rsidRPr="00C6076E" w:rsidRDefault="003A7509" w:rsidP="00223B81">
            <w:pPr>
              <w:ind w:firstLineChars="0" w:firstLine="0"/>
              <w:jc w:val="center"/>
            </w:pPr>
            <w:proofErr w:type="spellStart"/>
            <w:r w:rsidRPr="00C6076E">
              <w:t>Kadoi</w:t>
            </w:r>
            <w:proofErr w:type="spellEnd"/>
            <w:r w:rsidRPr="00C6076E">
              <w:t xml:space="preserve"> </w:t>
            </w:r>
            <w:r w:rsidR="00543014" w:rsidRPr="00543014">
              <w:rPr>
                <w:i/>
              </w:rPr>
              <w:t>et al.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93F2969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2007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272455AC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Experimental Brain Research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7F767A0" w14:textId="77777777" w:rsidR="003A7509" w:rsidRPr="00223B81" w:rsidRDefault="003A7509" w:rsidP="00223B81">
            <w:pPr>
              <w:ind w:firstLineChars="0" w:firstLine="0"/>
              <w:jc w:val="center"/>
            </w:pPr>
            <w:r w:rsidRPr="00223B81">
              <w:t>TCN not investigated</w:t>
            </w:r>
          </w:p>
        </w:tc>
      </w:tr>
    </w:tbl>
    <w:p w14:paraId="6CCB719B" w14:textId="6E1DB32A" w:rsidR="0061633A" w:rsidRDefault="0053267A" w:rsidP="0061633A">
      <w:pPr>
        <w:pStyle w:val="affc"/>
        <w:jc w:val="both"/>
        <w:rPr>
          <w:rFonts w:eastAsiaTheme="minorEastAsia"/>
        </w:rPr>
      </w:pPr>
      <w:r w:rsidRPr="0053267A">
        <w:rPr>
          <w:rFonts w:eastAsiaTheme="minorEastAsia"/>
        </w:rPr>
        <w:t xml:space="preserve">TCN: trigeminocervical nucleus. </w:t>
      </w:r>
    </w:p>
    <w:p w14:paraId="5E2F3CF9" w14:textId="77777777" w:rsidR="00AC0BF4" w:rsidRPr="00AC0BF4" w:rsidRDefault="00AC0BF4" w:rsidP="0061633A">
      <w:pPr>
        <w:pStyle w:val="affc"/>
        <w:jc w:val="both"/>
        <w:rPr>
          <w:rFonts w:eastAsiaTheme="minorEastAsia"/>
        </w:rPr>
      </w:pPr>
    </w:p>
    <w:sectPr w:rsidR="00AC0BF4" w:rsidRPr="00AC0BF4" w:rsidSect="00505F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03710" w14:textId="77777777" w:rsidR="00047FC6" w:rsidRDefault="00047FC6" w:rsidP="00223B81">
      <w:pPr>
        <w:ind w:firstLine="420"/>
      </w:pPr>
      <w:r>
        <w:separator/>
      </w:r>
    </w:p>
  </w:endnote>
  <w:endnote w:type="continuationSeparator" w:id="0">
    <w:p w14:paraId="46EF3C60" w14:textId="77777777" w:rsidR="00047FC6" w:rsidRDefault="00047FC6" w:rsidP="00223B8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E3F1" w14:textId="77777777" w:rsidR="00223B81" w:rsidRDefault="00223B81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0203687"/>
      <w:docPartObj>
        <w:docPartGallery w:val="Page Numbers (Bottom of Page)"/>
        <w:docPartUnique/>
      </w:docPartObj>
    </w:sdtPr>
    <w:sdtEndPr/>
    <w:sdtContent>
      <w:p w14:paraId="08456B1F" w14:textId="327AB2E8" w:rsidR="00223B81" w:rsidRDefault="00223B81">
        <w:pPr>
          <w:pStyle w:val="a8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1B9" w:rsidRPr="002341B9">
          <w:rPr>
            <w:noProof/>
            <w:lang w:val="zh-CN"/>
          </w:rPr>
          <w:t>12</w:t>
        </w:r>
        <w:r>
          <w:fldChar w:fldCharType="end"/>
        </w:r>
      </w:p>
    </w:sdtContent>
  </w:sdt>
  <w:p w14:paraId="34895E62" w14:textId="77777777" w:rsidR="00223B81" w:rsidRDefault="00223B81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46AB" w14:textId="77777777" w:rsidR="00223B81" w:rsidRDefault="00223B81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5E818" w14:textId="77777777" w:rsidR="00047FC6" w:rsidRDefault="00047FC6" w:rsidP="00223B81">
      <w:pPr>
        <w:ind w:firstLine="420"/>
      </w:pPr>
      <w:r>
        <w:separator/>
      </w:r>
    </w:p>
  </w:footnote>
  <w:footnote w:type="continuationSeparator" w:id="0">
    <w:p w14:paraId="1B3F0FB3" w14:textId="77777777" w:rsidR="00047FC6" w:rsidRDefault="00047FC6" w:rsidP="00223B81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C711D" w14:textId="77777777" w:rsidR="00223B81" w:rsidRDefault="00223B81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A47C" w14:textId="77777777" w:rsidR="00223B81" w:rsidRDefault="00223B81" w:rsidP="00223B81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9A30" w14:textId="77777777" w:rsidR="00223B81" w:rsidRDefault="00223B81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12A4"/>
    <w:multiLevelType w:val="hybridMultilevel"/>
    <w:tmpl w:val="BBA2D4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84573"/>
    <w:multiLevelType w:val="hybridMultilevel"/>
    <w:tmpl w:val="27903E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6522F"/>
    <w:multiLevelType w:val="multilevel"/>
    <w:tmpl w:val="A4EA40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157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D452FDD"/>
    <w:multiLevelType w:val="hybridMultilevel"/>
    <w:tmpl w:val="CCA2E7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3F79FC"/>
    <w:multiLevelType w:val="hybridMultilevel"/>
    <w:tmpl w:val="0D3645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7CF068E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E5551"/>
    <w:multiLevelType w:val="hybridMultilevel"/>
    <w:tmpl w:val="7B247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45018"/>
    <w:multiLevelType w:val="hybridMultilevel"/>
    <w:tmpl w:val="F516F1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7308DB"/>
    <w:multiLevelType w:val="hybridMultilevel"/>
    <w:tmpl w:val="534A99F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364FD9"/>
    <w:multiLevelType w:val="hybridMultilevel"/>
    <w:tmpl w:val="B60A0BC6"/>
    <w:lvl w:ilvl="0" w:tplc="2A7A00B0">
      <w:start w:val="1"/>
      <w:numFmt w:val="decimal"/>
      <w:pStyle w:val="berschrift1Anhang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B5CF8"/>
    <w:multiLevelType w:val="hybridMultilevel"/>
    <w:tmpl w:val="D3B8DC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C318A"/>
    <w:multiLevelType w:val="hybridMultilevel"/>
    <w:tmpl w:val="63DA1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E575C"/>
    <w:multiLevelType w:val="hybridMultilevel"/>
    <w:tmpl w:val="D384ED06"/>
    <w:lvl w:ilvl="0" w:tplc="9F1ED6FA">
      <w:start w:val="1"/>
      <w:numFmt w:val="bullet"/>
      <w:pStyle w:val="berschrift2Anhang"/>
      <w:lvlText w:val="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F01F7"/>
    <w:multiLevelType w:val="hybridMultilevel"/>
    <w:tmpl w:val="FF225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95E6C"/>
    <w:multiLevelType w:val="hybridMultilevel"/>
    <w:tmpl w:val="E0B2A2AA"/>
    <w:lvl w:ilvl="0" w:tplc="F1807F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64D23"/>
    <w:multiLevelType w:val="hybridMultilevel"/>
    <w:tmpl w:val="C51AFBD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661A69"/>
    <w:multiLevelType w:val="multilevel"/>
    <w:tmpl w:val="9520742E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F2E64FD"/>
    <w:multiLevelType w:val="multilevel"/>
    <w:tmpl w:val="2F44A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131DD4"/>
    <w:multiLevelType w:val="multilevel"/>
    <w:tmpl w:val="FD8EBE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8557913"/>
    <w:multiLevelType w:val="multilevel"/>
    <w:tmpl w:val="26D65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3C13EF"/>
    <w:multiLevelType w:val="multilevel"/>
    <w:tmpl w:val="E3DC2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32044E"/>
    <w:multiLevelType w:val="hybridMultilevel"/>
    <w:tmpl w:val="C1FEB43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5B7C66C7"/>
    <w:multiLevelType w:val="hybridMultilevel"/>
    <w:tmpl w:val="F766C2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FD31FD"/>
    <w:multiLevelType w:val="hybridMultilevel"/>
    <w:tmpl w:val="3F7037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37E16E1"/>
    <w:multiLevelType w:val="hybridMultilevel"/>
    <w:tmpl w:val="D33AD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481DDC"/>
    <w:multiLevelType w:val="hybridMultilevel"/>
    <w:tmpl w:val="05BAF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54B7C"/>
    <w:multiLevelType w:val="hybridMultilevel"/>
    <w:tmpl w:val="EBC0BF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6B5C48"/>
    <w:multiLevelType w:val="hybridMultilevel"/>
    <w:tmpl w:val="1B90B37A"/>
    <w:lvl w:ilvl="0" w:tplc="96C0EFE6">
      <w:start w:val="1"/>
      <w:numFmt w:val="decimal"/>
      <w:pStyle w:val="a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D4840"/>
    <w:multiLevelType w:val="hybridMultilevel"/>
    <w:tmpl w:val="EC88A9D8"/>
    <w:lvl w:ilvl="0" w:tplc="29B43E1A">
      <w:start w:val="1"/>
      <w:numFmt w:val="decimal"/>
      <w:pStyle w:val="berschrift2neuAnh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9A3C77"/>
    <w:multiLevelType w:val="hybridMultilevel"/>
    <w:tmpl w:val="1F149424"/>
    <w:lvl w:ilvl="0" w:tplc="48EE67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B518A"/>
    <w:multiLevelType w:val="hybridMultilevel"/>
    <w:tmpl w:val="DE448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F248B8"/>
    <w:multiLevelType w:val="hybridMultilevel"/>
    <w:tmpl w:val="DE8AE9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38003C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8"/>
  </w:num>
  <w:num w:numId="4">
    <w:abstractNumId w:val="11"/>
  </w:num>
  <w:num w:numId="5">
    <w:abstractNumId w:val="27"/>
  </w:num>
  <w:num w:numId="6">
    <w:abstractNumId w:val="24"/>
  </w:num>
  <w:num w:numId="7">
    <w:abstractNumId w:val="13"/>
  </w:num>
  <w:num w:numId="8">
    <w:abstractNumId w:val="16"/>
  </w:num>
  <w:num w:numId="9">
    <w:abstractNumId w:val="19"/>
  </w:num>
  <w:num w:numId="10">
    <w:abstractNumId w:val="30"/>
  </w:num>
  <w:num w:numId="11">
    <w:abstractNumId w:val="6"/>
  </w:num>
  <w:num w:numId="12">
    <w:abstractNumId w:val="21"/>
  </w:num>
  <w:num w:numId="13">
    <w:abstractNumId w:val="3"/>
  </w:num>
  <w:num w:numId="14">
    <w:abstractNumId w:val="20"/>
  </w:num>
  <w:num w:numId="15">
    <w:abstractNumId w:val="25"/>
  </w:num>
  <w:num w:numId="16">
    <w:abstractNumId w:val="22"/>
  </w:num>
  <w:num w:numId="17">
    <w:abstractNumId w:val="18"/>
  </w:num>
  <w:num w:numId="18">
    <w:abstractNumId w:val="10"/>
  </w:num>
  <w:num w:numId="19">
    <w:abstractNumId w:val="29"/>
  </w:num>
  <w:num w:numId="20">
    <w:abstractNumId w:val="23"/>
  </w:num>
  <w:num w:numId="21">
    <w:abstractNumId w:val="12"/>
  </w:num>
  <w:num w:numId="22">
    <w:abstractNumId w:val="0"/>
  </w:num>
  <w:num w:numId="23">
    <w:abstractNumId w:val="5"/>
  </w:num>
  <w:num w:numId="24">
    <w:abstractNumId w:val="1"/>
  </w:num>
  <w:num w:numId="25">
    <w:abstractNumId w:val="9"/>
  </w:num>
  <w:num w:numId="26">
    <w:abstractNumId w:val="28"/>
  </w:num>
  <w:num w:numId="27">
    <w:abstractNumId w:val="17"/>
  </w:num>
  <w:num w:numId="28">
    <w:abstractNumId w:val="7"/>
  </w:num>
  <w:num w:numId="29">
    <w:abstractNumId w:val="4"/>
  </w:num>
  <w:num w:numId="30">
    <w:abstractNumId w:val="14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509"/>
    <w:rsid w:val="000103BF"/>
    <w:rsid w:val="000438B9"/>
    <w:rsid w:val="00047FC6"/>
    <w:rsid w:val="000A4242"/>
    <w:rsid w:val="00156AAE"/>
    <w:rsid w:val="001B10A7"/>
    <w:rsid w:val="001F54D4"/>
    <w:rsid w:val="00223B81"/>
    <w:rsid w:val="002341B9"/>
    <w:rsid w:val="002456C3"/>
    <w:rsid w:val="002B5C3E"/>
    <w:rsid w:val="003670A5"/>
    <w:rsid w:val="003811E3"/>
    <w:rsid w:val="003841FD"/>
    <w:rsid w:val="003A7509"/>
    <w:rsid w:val="003C465B"/>
    <w:rsid w:val="003C6FE3"/>
    <w:rsid w:val="003F4761"/>
    <w:rsid w:val="00505FBA"/>
    <w:rsid w:val="00523348"/>
    <w:rsid w:val="0053267A"/>
    <w:rsid w:val="00543014"/>
    <w:rsid w:val="005A15F1"/>
    <w:rsid w:val="005C306E"/>
    <w:rsid w:val="005D3FCE"/>
    <w:rsid w:val="005E4A92"/>
    <w:rsid w:val="0061633A"/>
    <w:rsid w:val="00666BCA"/>
    <w:rsid w:val="00677165"/>
    <w:rsid w:val="00715559"/>
    <w:rsid w:val="00736535"/>
    <w:rsid w:val="00763421"/>
    <w:rsid w:val="00796D3B"/>
    <w:rsid w:val="007D447A"/>
    <w:rsid w:val="007E7866"/>
    <w:rsid w:val="0081719B"/>
    <w:rsid w:val="00833E48"/>
    <w:rsid w:val="008B08BD"/>
    <w:rsid w:val="009E2D45"/>
    <w:rsid w:val="00A13DEB"/>
    <w:rsid w:val="00A3622F"/>
    <w:rsid w:val="00A95625"/>
    <w:rsid w:val="00AA3FAF"/>
    <w:rsid w:val="00AB7E32"/>
    <w:rsid w:val="00AC0BF4"/>
    <w:rsid w:val="00AD384C"/>
    <w:rsid w:val="00B57E19"/>
    <w:rsid w:val="00B94579"/>
    <w:rsid w:val="00BE2A9A"/>
    <w:rsid w:val="00C044EB"/>
    <w:rsid w:val="00C2712A"/>
    <w:rsid w:val="00C6076E"/>
    <w:rsid w:val="00CB7578"/>
    <w:rsid w:val="00DC356D"/>
    <w:rsid w:val="00DF0639"/>
    <w:rsid w:val="00E15746"/>
    <w:rsid w:val="00E21EF2"/>
    <w:rsid w:val="00E25A6A"/>
    <w:rsid w:val="00E44EF6"/>
    <w:rsid w:val="00E67184"/>
    <w:rsid w:val="00E95B2D"/>
    <w:rsid w:val="00EB3925"/>
    <w:rsid w:val="00EB67A2"/>
    <w:rsid w:val="00EC4D18"/>
    <w:rsid w:val="00EE1B8A"/>
    <w:rsid w:val="00EF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DFDEF"/>
  <w15:chartTrackingRefBased/>
  <w15:docId w15:val="{1DA0B493-3E4B-C349-A24B-763983A7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23B81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1">
    <w:name w:val="heading 1"/>
    <w:aliases w:val="一级标题"/>
    <w:basedOn w:val="a0"/>
    <w:next w:val="a0"/>
    <w:link w:val="10"/>
    <w:autoRedefine/>
    <w:uiPriority w:val="1"/>
    <w:qFormat/>
    <w:rsid w:val="00223B81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0"/>
    <w:next w:val="a0"/>
    <w:link w:val="20"/>
    <w:autoRedefine/>
    <w:uiPriority w:val="9"/>
    <w:unhideWhenUsed/>
    <w:qFormat/>
    <w:rsid w:val="00223B81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0"/>
    <w:next w:val="a0"/>
    <w:link w:val="30"/>
    <w:autoRedefine/>
    <w:uiPriority w:val="9"/>
    <w:unhideWhenUsed/>
    <w:qFormat/>
    <w:rsid w:val="00223B81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0"/>
    <w:next w:val="a0"/>
    <w:link w:val="40"/>
    <w:uiPriority w:val="9"/>
    <w:qFormat/>
    <w:rsid w:val="00223B81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223B8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uiPriority w:val="9"/>
    <w:unhideWhenUsed/>
    <w:qFormat/>
    <w:rsid w:val="00223B81"/>
    <w:pPr>
      <w:keepNext/>
      <w:keepLines/>
      <w:numPr>
        <w:ilvl w:val="5"/>
        <w:numId w:val="34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0"/>
    <w:next w:val="a0"/>
    <w:link w:val="70"/>
    <w:uiPriority w:val="9"/>
    <w:unhideWhenUsed/>
    <w:qFormat/>
    <w:rsid w:val="00223B81"/>
    <w:pPr>
      <w:keepNext/>
      <w:keepLines/>
      <w:numPr>
        <w:ilvl w:val="6"/>
        <w:numId w:val="3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link w:val="80"/>
    <w:uiPriority w:val="9"/>
    <w:unhideWhenUsed/>
    <w:qFormat/>
    <w:rsid w:val="00223B81"/>
    <w:pPr>
      <w:keepNext/>
      <w:keepLines/>
      <w:numPr>
        <w:ilvl w:val="7"/>
        <w:numId w:val="34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0"/>
    <w:next w:val="a0"/>
    <w:link w:val="90"/>
    <w:uiPriority w:val="9"/>
    <w:unhideWhenUsed/>
    <w:qFormat/>
    <w:rsid w:val="00223B81"/>
    <w:pPr>
      <w:keepNext/>
      <w:keepLines/>
      <w:numPr>
        <w:ilvl w:val="8"/>
        <w:numId w:val="34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aliases w:val="一级标题 字符"/>
    <w:link w:val="1"/>
    <w:uiPriority w:val="1"/>
    <w:rsid w:val="00223B81"/>
    <w:rPr>
      <w:rFonts w:ascii="Times New Roman" w:eastAsia="Times New Roman" w:hAnsi="Times New Roman" w:cs="Book Antiqua"/>
      <w:b/>
      <w:bCs/>
      <w:szCs w:val="20"/>
      <w:lang w:val="en-US" w:eastAsia="zh-CN"/>
    </w:rPr>
  </w:style>
  <w:style w:type="character" w:customStyle="1" w:styleId="20">
    <w:name w:val="标题 2 字符"/>
    <w:aliases w:val="二级标题 字符"/>
    <w:link w:val="2"/>
    <w:uiPriority w:val="9"/>
    <w:rsid w:val="00223B81"/>
    <w:rPr>
      <w:rFonts w:ascii="Times New Roman" w:eastAsia="Times New Roman" w:hAnsi="Times New Roman" w:cs="Times New Roman"/>
      <w:b/>
      <w:bCs/>
      <w:i/>
      <w:kern w:val="2"/>
      <w:sz w:val="22"/>
      <w:szCs w:val="21"/>
      <w:lang w:val="en-US" w:eastAsia="zh-CN"/>
    </w:rPr>
  </w:style>
  <w:style w:type="character" w:customStyle="1" w:styleId="30">
    <w:name w:val="标题 3 字符"/>
    <w:aliases w:val="三级标题 字符"/>
    <w:link w:val="3"/>
    <w:uiPriority w:val="9"/>
    <w:rsid w:val="00223B81"/>
    <w:rPr>
      <w:rFonts w:ascii="Times New Roman" w:eastAsia="Times New Roman" w:hAnsi="Times New Roman" w:cs="Times New Roman"/>
      <w:bCs/>
      <w:i/>
      <w:kern w:val="2"/>
      <w:sz w:val="22"/>
      <w:szCs w:val="32"/>
      <w:lang w:val="en-US" w:eastAsia="zh-CN"/>
    </w:rPr>
  </w:style>
  <w:style w:type="character" w:customStyle="1" w:styleId="40">
    <w:name w:val="标题 4 字符"/>
    <w:link w:val="4"/>
    <w:uiPriority w:val="9"/>
    <w:rsid w:val="00223B81"/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character" w:customStyle="1" w:styleId="50">
    <w:name w:val="标题 5 字符"/>
    <w:link w:val="5"/>
    <w:uiPriority w:val="9"/>
    <w:rsid w:val="00223B81"/>
    <w:rPr>
      <w:rFonts w:ascii="Times New Roman" w:eastAsia="Times New Roman" w:hAnsi="Times New Roman" w:cs="Times New Roman"/>
      <w:b/>
      <w:bCs/>
      <w:kern w:val="2"/>
      <w:sz w:val="28"/>
      <w:szCs w:val="28"/>
      <w:lang w:val="en-US" w:eastAsia="zh-CN"/>
    </w:rPr>
  </w:style>
  <w:style w:type="character" w:customStyle="1" w:styleId="60">
    <w:name w:val="标题 6 字符"/>
    <w:link w:val="6"/>
    <w:uiPriority w:val="9"/>
    <w:rsid w:val="00223B81"/>
    <w:rPr>
      <w:rFonts w:ascii="等线 Light" w:eastAsia="等线 Light" w:hAnsi="等线 Light" w:cs="Times New Roman"/>
      <w:b/>
      <w:bCs/>
      <w:kern w:val="2"/>
      <w:lang w:val="en-US" w:eastAsia="zh-CN"/>
    </w:rPr>
  </w:style>
  <w:style w:type="character" w:customStyle="1" w:styleId="70">
    <w:name w:val="标题 7 字符"/>
    <w:link w:val="7"/>
    <w:uiPriority w:val="9"/>
    <w:rsid w:val="00223B81"/>
    <w:rPr>
      <w:rFonts w:ascii="Times New Roman" w:eastAsia="Times New Roman" w:hAnsi="Times New Roman" w:cs="Times New Roman"/>
      <w:b/>
      <w:bCs/>
      <w:kern w:val="2"/>
      <w:lang w:val="en-US" w:eastAsia="zh-CN"/>
    </w:rPr>
  </w:style>
  <w:style w:type="character" w:customStyle="1" w:styleId="80">
    <w:name w:val="标题 8 字符"/>
    <w:link w:val="8"/>
    <w:uiPriority w:val="9"/>
    <w:rsid w:val="00223B81"/>
    <w:rPr>
      <w:rFonts w:ascii="等线 Light" w:eastAsia="等线 Light" w:hAnsi="等线 Light" w:cs="Times New Roman"/>
      <w:kern w:val="2"/>
      <w:lang w:val="en-US" w:eastAsia="zh-CN"/>
    </w:rPr>
  </w:style>
  <w:style w:type="character" w:customStyle="1" w:styleId="90">
    <w:name w:val="标题 9 字符"/>
    <w:link w:val="9"/>
    <w:uiPriority w:val="9"/>
    <w:rsid w:val="00223B81"/>
    <w:rPr>
      <w:rFonts w:ascii="等线 Light" w:eastAsia="等线 Light" w:hAnsi="等线 Light" w:cs="Times New Roman"/>
      <w:kern w:val="2"/>
      <w:sz w:val="21"/>
      <w:szCs w:val="21"/>
      <w:lang w:val="en-US" w:eastAsia="zh-CN"/>
    </w:rPr>
  </w:style>
  <w:style w:type="paragraph" w:styleId="a4">
    <w:name w:val="Balloon Text"/>
    <w:basedOn w:val="a0"/>
    <w:link w:val="a5"/>
    <w:uiPriority w:val="99"/>
    <w:semiHidden/>
    <w:rsid w:val="003A7509"/>
    <w:pPr>
      <w:jc w:val="left"/>
    </w:pPr>
    <w:rPr>
      <w:rFonts w:ascii="Tahoma" w:hAnsi="Tahoma" w:cs="Tahoma"/>
      <w:sz w:val="16"/>
      <w:szCs w:val="16"/>
      <w:lang w:eastAsia="de-DE"/>
    </w:rPr>
  </w:style>
  <w:style w:type="character" w:customStyle="1" w:styleId="a5">
    <w:name w:val="批注框文本 字符"/>
    <w:basedOn w:val="a1"/>
    <w:link w:val="a4"/>
    <w:uiPriority w:val="99"/>
    <w:semiHidden/>
    <w:rsid w:val="003A7509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eichen">
    <w:name w:val="Sprechblasentext Zeichen"/>
    <w:basedOn w:val="a1"/>
    <w:uiPriority w:val="99"/>
    <w:semiHidden/>
    <w:rsid w:val="003A7509"/>
    <w:rPr>
      <w:rFonts w:ascii="Lucida Grande" w:hAnsi="Lucida Grande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223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223B81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a8">
    <w:name w:val="footer"/>
    <w:basedOn w:val="a0"/>
    <w:link w:val="a9"/>
    <w:uiPriority w:val="99"/>
    <w:unhideWhenUsed/>
    <w:rsid w:val="00223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223B81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table" w:styleId="aa">
    <w:name w:val="Table Grid"/>
    <w:basedOn w:val="a2"/>
    <w:uiPriority w:val="59"/>
    <w:qFormat/>
    <w:rsid w:val="00223B81"/>
    <w:rPr>
      <w:rFonts w:ascii="等线" w:eastAsia="等线" w:hAnsi="等线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0"/>
    <w:uiPriority w:val="34"/>
    <w:qFormat/>
    <w:rsid w:val="003A7509"/>
    <w:pPr>
      <w:ind w:left="720"/>
      <w:jc w:val="left"/>
    </w:pPr>
    <w:rPr>
      <w:sz w:val="24"/>
      <w:lang w:eastAsia="de-DE"/>
    </w:rPr>
  </w:style>
  <w:style w:type="character" w:styleId="ac">
    <w:name w:val="Subtle Reference"/>
    <w:basedOn w:val="a1"/>
    <w:uiPriority w:val="99"/>
    <w:qFormat/>
    <w:rsid w:val="003A7509"/>
    <w:rPr>
      <w:rFonts w:cs="Times New Roman"/>
      <w:smallCaps/>
      <w:color w:val="C0504D"/>
      <w:u w:val="single"/>
    </w:rPr>
  </w:style>
  <w:style w:type="character" w:styleId="ad">
    <w:name w:val="Hyperlink"/>
    <w:basedOn w:val="a1"/>
    <w:uiPriority w:val="99"/>
    <w:rsid w:val="003A7509"/>
    <w:rPr>
      <w:rFonts w:cs="Times New Roman"/>
      <w:color w:val="0000FF"/>
      <w:u w:val="single"/>
    </w:rPr>
  </w:style>
  <w:style w:type="paragraph" w:customStyle="1" w:styleId="Verzeichnisberschrift">
    <w:name w:val="Verzeichnis Überschrift"/>
    <w:basedOn w:val="1"/>
    <w:link w:val="VerzeichnisberschriftZchn"/>
    <w:uiPriority w:val="99"/>
    <w:rsid w:val="003A7509"/>
  </w:style>
  <w:style w:type="character" w:customStyle="1" w:styleId="VerzeichnisberschriftZchn">
    <w:name w:val="Verzeichnis Überschrift Zchn"/>
    <w:basedOn w:val="10"/>
    <w:link w:val="Verzeichnisberschrift"/>
    <w:uiPriority w:val="99"/>
    <w:locked/>
    <w:rsid w:val="003A7509"/>
    <w:rPr>
      <w:rFonts w:asciiTheme="majorHAnsi" w:eastAsia="Times New Roman" w:hAnsiTheme="majorHAnsi" w:cs="Times New Roman"/>
      <w:b/>
      <w:bCs/>
      <w:sz w:val="44"/>
      <w:szCs w:val="28"/>
      <w:lang w:val="en-US" w:eastAsia="de-DE"/>
    </w:rPr>
  </w:style>
  <w:style w:type="character" w:styleId="ae">
    <w:name w:val="Intense Reference"/>
    <w:basedOn w:val="a1"/>
    <w:uiPriority w:val="99"/>
    <w:qFormat/>
    <w:rsid w:val="003A7509"/>
    <w:rPr>
      <w:rFonts w:cs="Times New Roman"/>
      <w:b/>
      <w:bCs/>
      <w:smallCaps/>
      <w:color w:val="C0504D"/>
      <w:spacing w:val="5"/>
      <w:u w:val="single"/>
    </w:rPr>
  </w:style>
  <w:style w:type="table" w:customStyle="1" w:styleId="HellesRaster1">
    <w:name w:val="Helles Raster1"/>
    <w:uiPriority w:val="99"/>
    <w:rsid w:val="003A7509"/>
    <w:rPr>
      <w:rFonts w:ascii="Calibri" w:eastAsia="Calibri" w:hAnsi="Calibri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0"/>
    <w:next w:val="a0"/>
    <w:uiPriority w:val="99"/>
    <w:qFormat/>
    <w:rsid w:val="003A7509"/>
    <w:pPr>
      <w:spacing w:after="120"/>
      <w:jc w:val="left"/>
    </w:pPr>
    <w:rPr>
      <w:bCs/>
      <w:sz w:val="18"/>
      <w:szCs w:val="18"/>
      <w:lang w:eastAsia="de-DE"/>
    </w:rPr>
  </w:style>
  <w:style w:type="character" w:styleId="af0">
    <w:name w:val="Strong"/>
    <w:basedOn w:val="a1"/>
    <w:uiPriority w:val="22"/>
    <w:qFormat/>
    <w:rsid w:val="003A7509"/>
    <w:rPr>
      <w:rFonts w:cs="Times New Roman"/>
      <w:b/>
      <w:bCs/>
    </w:rPr>
  </w:style>
  <w:style w:type="paragraph" w:styleId="af1">
    <w:name w:val="Quote"/>
    <w:basedOn w:val="a0"/>
    <w:next w:val="a0"/>
    <w:link w:val="af2"/>
    <w:uiPriority w:val="99"/>
    <w:qFormat/>
    <w:rsid w:val="003A7509"/>
    <w:pPr>
      <w:jc w:val="left"/>
    </w:pPr>
    <w:rPr>
      <w:i/>
      <w:iCs/>
      <w:color w:val="000000"/>
      <w:sz w:val="24"/>
      <w:lang w:eastAsia="de-DE"/>
    </w:rPr>
  </w:style>
  <w:style w:type="character" w:customStyle="1" w:styleId="af2">
    <w:name w:val="引用 字符"/>
    <w:basedOn w:val="a1"/>
    <w:link w:val="af1"/>
    <w:uiPriority w:val="99"/>
    <w:rsid w:val="003A7509"/>
    <w:rPr>
      <w:rFonts w:ascii="Times New Roman" w:eastAsia="Times New Roman" w:hAnsi="Times New Roman" w:cs="Times New Roman"/>
      <w:i/>
      <w:iCs/>
      <w:color w:val="000000"/>
      <w:lang w:eastAsia="de-DE"/>
    </w:rPr>
  </w:style>
  <w:style w:type="character" w:styleId="af3">
    <w:name w:val="Emphasis"/>
    <w:basedOn w:val="a1"/>
    <w:uiPriority w:val="20"/>
    <w:qFormat/>
    <w:rsid w:val="003A7509"/>
    <w:rPr>
      <w:rFonts w:asciiTheme="majorHAnsi" w:hAnsiTheme="majorHAnsi" w:cs="Times New Roman"/>
      <w:i/>
      <w:iCs/>
    </w:rPr>
  </w:style>
  <w:style w:type="character" w:styleId="af4">
    <w:name w:val="Subtle Emphasis"/>
    <w:basedOn w:val="a1"/>
    <w:uiPriority w:val="19"/>
    <w:qFormat/>
    <w:rsid w:val="003A7509"/>
    <w:rPr>
      <w:i/>
      <w:iCs/>
      <w:color w:val="808080" w:themeColor="text1" w:themeTint="7F"/>
    </w:rPr>
  </w:style>
  <w:style w:type="table" w:customStyle="1" w:styleId="MittlereSchattierung2-Akzent11">
    <w:name w:val="Mittlere Schattierung 2 - Akzent 11"/>
    <w:basedOn w:val="a2"/>
    <w:uiPriority w:val="64"/>
    <w:rsid w:val="003A7509"/>
    <w:rPr>
      <w:rFonts w:ascii="Calibri" w:eastAsia="Calibri" w:hAnsi="Calibri" w:cs="Times New Roman"/>
      <w:sz w:val="22"/>
      <w:szCs w:val="22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">
    <w:name w:val="Title"/>
    <w:basedOn w:val="a0"/>
    <w:next w:val="a0"/>
    <w:link w:val="af5"/>
    <w:uiPriority w:val="10"/>
    <w:qFormat/>
    <w:rsid w:val="003A7509"/>
    <w:pPr>
      <w:numPr>
        <w:numId w:val="2"/>
      </w:numPr>
      <w:spacing w:before="480" w:after="300" w:line="480" w:lineRule="auto"/>
      <w:ind w:left="714" w:hanging="357"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  <w:style w:type="character" w:customStyle="1" w:styleId="af5">
    <w:name w:val="标题 字符"/>
    <w:basedOn w:val="a1"/>
    <w:link w:val="a"/>
    <w:uiPriority w:val="10"/>
    <w:rsid w:val="003A750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  <w:style w:type="paragraph" w:styleId="af6">
    <w:name w:val="Normal (Web)"/>
    <w:basedOn w:val="a0"/>
    <w:uiPriority w:val="99"/>
    <w:unhideWhenUsed/>
    <w:rsid w:val="00223B81"/>
    <w:pPr>
      <w:spacing w:before="100" w:beforeAutospacing="1" w:after="100" w:afterAutospacing="1"/>
    </w:pPr>
    <w:rPr>
      <w:lang w:eastAsia="en-US"/>
    </w:rPr>
  </w:style>
  <w:style w:type="paragraph" w:styleId="TOC">
    <w:name w:val="TOC Heading"/>
    <w:basedOn w:val="1"/>
    <w:next w:val="a0"/>
    <w:uiPriority w:val="39"/>
    <w:semiHidden/>
    <w:unhideWhenUsed/>
    <w:qFormat/>
    <w:rsid w:val="003A7509"/>
    <w:pPr>
      <w:spacing w:after="0" w:line="276" w:lineRule="auto"/>
      <w:outlineLvl w:val="9"/>
    </w:pPr>
    <w:rPr>
      <w:rFonts w:eastAsiaTheme="majorEastAsia" w:cstheme="majorBidi"/>
      <w:color w:val="2F5496" w:themeColor="accent1" w:themeShade="BF"/>
      <w:sz w:val="28"/>
    </w:rPr>
  </w:style>
  <w:style w:type="paragraph" w:styleId="TOC1">
    <w:name w:val="toc 1"/>
    <w:basedOn w:val="a0"/>
    <w:next w:val="a0"/>
    <w:autoRedefine/>
    <w:uiPriority w:val="39"/>
    <w:unhideWhenUsed/>
    <w:qFormat/>
    <w:rsid w:val="003A7509"/>
    <w:pPr>
      <w:tabs>
        <w:tab w:val="left" w:pos="440"/>
        <w:tab w:val="right" w:leader="dot" w:pos="8777"/>
      </w:tabs>
      <w:spacing w:before="120" w:after="120"/>
      <w:jc w:val="left"/>
    </w:pPr>
    <w:rPr>
      <w:b/>
      <w:bCs/>
      <w:caps/>
      <w:sz w:val="20"/>
      <w:szCs w:val="20"/>
      <w:lang w:eastAsia="de-DE"/>
    </w:rPr>
  </w:style>
  <w:style w:type="paragraph" w:styleId="TOC2">
    <w:name w:val="toc 2"/>
    <w:basedOn w:val="a0"/>
    <w:next w:val="a0"/>
    <w:autoRedefine/>
    <w:uiPriority w:val="39"/>
    <w:unhideWhenUsed/>
    <w:qFormat/>
    <w:rsid w:val="003A7509"/>
    <w:pPr>
      <w:ind w:left="220"/>
      <w:jc w:val="left"/>
    </w:pPr>
    <w:rPr>
      <w:smallCaps/>
      <w:sz w:val="20"/>
      <w:szCs w:val="20"/>
      <w:lang w:eastAsia="de-DE"/>
    </w:rPr>
  </w:style>
  <w:style w:type="paragraph" w:styleId="TOC3">
    <w:name w:val="toc 3"/>
    <w:basedOn w:val="a0"/>
    <w:next w:val="a0"/>
    <w:autoRedefine/>
    <w:uiPriority w:val="39"/>
    <w:unhideWhenUsed/>
    <w:qFormat/>
    <w:rsid w:val="003A7509"/>
    <w:pPr>
      <w:ind w:left="440"/>
      <w:jc w:val="left"/>
    </w:pPr>
    <w:rPr>
      <w:i/>
      <w:iCs/>
      <w:sz w:val="20"/>
      <w:szCs w:val="20"/>
      <w:lang w:eastAsia="de-DE"/>
    </w:rPr>
  </w:style>
  <w:style w:type="paragraph" w:styleId="af7">
    <w:name w:val="footnote text"/>
    <w:basedOn w:val="a0"/>
    <w:link w:val="af8"/>
    <w:unhideWhenUsed/>
    <w:rsid w:val="003A7509"/>
    <w:pPr>
      <w:jc w:val="left"/>
    </w:pPr>
    <w:rPr>
      <w:sz w:val="20"/>
      <w:szCs w:val="20"/>
      <w:lang w:eastAsia="de-DE"/>
    </w:rPr>
  </w:style>
  <w:style w:type="character" w:customStyle="1" w:styleId="af8">
    <w:name w:val="脚注文本 字符"/>
    <w:basedOn w:val="a1"/>
    <w:link w:val="af7"/>
    <w:rsid w:val="003A750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af9">
    <w:name w:val="footnote reference"/>
    <w:basedOn w:val="a1"/>
    <w:unhideWhenUsed/>
    <w:rsid w:val="003A7509"/>
    <w:rPr>
      <w:vertAlign w:val="superscript"/>
    </w:rPr>
  </w:style>
  <w:style w:type="paragraph" w:styleId="afa">
    <w:name w:val="No Spacing"/>
    <w:uiPriority w:val="1"/>
    <w:qFormat/>
    <w:rsid w:val="003A7509"/>
    <w:pPr>
      <w:jc w:val="both"/>
    </w:pPr>
    <w:rPr>
      <w:rFonts w:ascii="Arial" w:eastAsia="Calibri" w:hAnsi="Arial" w:cs="Times New Roman"/>
      <w:sz w:val="22"/>
      <w:szCs w:val="22"/>
    </w:rPr>
  </w:style>
  <w:style w:type="paragraph" w:customStyle="1" w:styleId="Default">
    <w:name w:val="Default"/>
    <w:rsid w:val="003A7509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de-DE"/>
    </w:rPr>
  </w:style>
  <w:style w:type="character" w:styleId="afb">
    <w:name w:val="FollowedHyperlink"/>
    <w:basedOn w:val="a1"/>
    <w:uiPriority w:val="99"/>
    <w:semiHidden/>
    <w:unhideWhenUsed/>
    <w:rsid w:val="003A7509"/>
    <w:rPr>
      <w:color w:val="954F72" w:themeColor="followedHyperlink"/>
      <w:u w:val="single"/>
    </w:rPr>
  </w:style>
  <w:style w:type="paragraph" w:styleId="TOC4">
    <w:name w:val="toc 4"/>
    <w:basedOn w:val="a0"/>
    <w:next w:val="a0"/>
    <w:autoRedefine/>
    <w:uiPriority w:val="39"/>
    <w:unhideWhenUsed/>
    <w:rsid w:val="003A7509"/>
    <w:pPr>
      <w:ind w:left="660"/>
      <w:jc w:val="left"/>
    </w:pPr>
    <w:rPr>
      <w:sz w:val="18"/>
      <w:szCs w:val="18"/>
      <w:lang w:eastAsia="de-DE"/>
    </w:rPr>
  </w:style>
  <w:style w:type="paragraph" w:styleId="TOC5">
    <w:name w:val="toc 5"/>
    <w:basedOn w:val="a0"/>
    <w:next w:val="a0"/>
    <w:autoRedefine/>
    <w:uiPriority w:val="39"/>
    <w:unhideWhenUsed/>
    <w:rsid w:val="003A7509"/>
    <w:pPr>
      <w:ind w:left="880"/>
      <w:jc w:val="left"/>
    </w:pPr>
    <w:rPr>
      <w:sz w:val="18"/>
      <w:szCs w:val="18"/>
      <w:lang w:eastAsia="de-DE"/>
    </w:rPr>
  </w:style>
  <w:style w:type="paragraph" w:styleId="TOC6">
    <w:name w:val="toc 6"/>
    <w:basedOn w:val="a0"/>
    <w:next w:val="a0"/>
    <w:autoRedefine/>
    <w:uiPriority w:val="39"/>
    <w:unhideWhenUsed/>
    <w:rsid w:val="003A7509"/>
    <w:pPr>
      <w:ind w:left="1100"/>
      <w:jc w:val="left"/>
    </w:pPr>
    <w:rPr>
      <w:sz w:val="18"/>
      <w:szCs w:val="18"/>
      <w:lang w:eastAsia="de-DE"/>
    </w:rPr>
  </w:style>
  <w:style w:type="table" w:customStyle="1" w:styleId="HellesRaster2">
    <w:name w:val="Helles Raster2"/>
    <w:basedOn w:val="a2"/>
    <w:uiPriority w:val="62"/>
    <w:rsid w:val="003A7509"/>
    <w:rPr>
      <w:rFonts w:ascii="Calibri" w:eastAsia="Calibri" w:hAnsi="Calibri" w:cs="Times New Roman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MittlereSchattierung11">
    <w:name w:val="Mittlere Schattierung 11"/>
    <w:basedOn w:val="a2"/>
    <w:uiPriority w:val="63"/>
    <w:rsid w:val="003A7509"/>
    <w:rPr>
      <w:rFonts w:ascii="Calibri" w:eastAsia="Calibri" w:hAnsi="Calibri" w:cs="Times New Roman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fc">
    <w:name w:val="Placeholder Text"/>
    <w:uiPriority w:val="99"/>
    <w:semiHidden/>
    <w:rsid w:val="00223B81"/>
    <w:rPr>
      <w:color w:val="808080"/>
    </w:rPr>
  </w:style>
  <w:style w:type="paragraph" w:styleId="afd">
    <w:name w:val="table of figures"/>
    <w:basedOn w:val="a0"/>
    <w:next w:val="a0"/>
    <w:uiPriority w:val="99"/>
    <w:unhideWhenUsed/>
    <w:rsid w:val="003A7509"/>
    <w:pPr>
      <w:ind w:left="440" w:hanging="440"/>
      <w:jc w:val="left"/>
    </w:pPr>
    <w:rPr>
      <w:smallCaps/>
      <w:sz w:val="20"/>
      <w:szCs w:val="20"/>
      <w:lang w:eastAsia="de-DE"/>
    </w:rPr>
  </w:style>
  <w:style w:type="paragraph" w:styleId="TOC7">
    <w:name w:val="toc 7"/>
    <w:basedOn w:val="a0"/>
    <w:next w:val="a0"/>
    <w:autoRedefine/>
    <w:uiPriority w:val="39"/>
    <w:unhideWhenUsed/>
    <w:rsid w:val="003A7509"/>
    <w:pPr>
      <w:ind w:left="1320"/>
      <w:jc w:val="left"/>
    </w:pPr>
    <w:rPr>
      <w:sz w:val="18"/>
      <w:szCs w:val="18"/>
      <w:lang w:eastAsia="de-DE"/>
    </w:rPr>
  </w:style>
  <w:style w:type="paragraph" w:styleId="TOC8">
    <w:name w:val="toc 8"/>
    <w:basedOn w:val="a0"/>
    <w:next w:val="a0"/>
    <w:autoRedefine/>
    <w:uiPriority w:val="39"/>
    <w:unhideWhenUsed/>
    <w:rsid w:val="003A7509"/>
    <w:pPr>
      <w:ind w:left="1540"/>
      <w:jc w:val="left"/>
    </w:pPr>
    <w:rPr>
      <w:sz w:val="18"/>
      <w:szCs w:val="18"/>
      <w:lang w:eastAsia="de-DE"/>
    </w:rPr>
  </w:style>
  <w:style w:type="paragraph" w:styleId="TOC9">
    <w:name w:val="toc 9"/>
    <w:basedOn w:val="a0"/>
    <w:next w:val="a0"/>
    <w:autoRedefine/>
    <w:uiPriority w:val="39"/>
    <w:unhideWhenUsed/>
    <w:rsid w:val="003A7509"/>
    <w:pPr>
      <w:ind w:left="1760"/>
      <w:jc w:val="left"/>
    </w:pPr>
    <w:rPr>
      <w:sz w:val="18"/>
      <w:szCs w:val="18"/>
      <w:lang w:eastAsia="de-DE"/>
    </w:rPr>
  </w:style>
  <w:style w:type="paragraph" w:styleId="afe">
    <w:name w:val="Document Map"/>
    <w:basedOn w:val="a0"/>
    <w:link w:val="aff"/>
    <w:uiPriority w:val="99"/>
    <w:semiHidden/>
    <w:unhideWhenUsed/>
    <w:rsid w:val="003A7509"/>
    <w:pPr>
      <w:jc w:val="left"/>
    </w:pPr>
    <w:rPr>
      <w:rFonts w:ascii="Tahoma" w:hAnsi="Tahoma" w:cs="Tahoma"/>
      <w:sz w:val="16"/>
      <w:szCs w:val="16"/>
      <w:lang w:eastAsia="de-DE"/>
    </w:rPr>
  </w:style>
  <w:style w:type="character" w:customStyle="1" w:styleId="aff">
    <w:name w:val="文档结构图 字符"/>
    <w:basedOn w:val="a1"/>
    <w:link w:val="afe"/>
    <w:uiPriority w:val="99"/>
    <w:semiHidden/>
    <w:rsid w:val="003A7509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berschrift2Anhang">
    <w:name w:val="Überschrift 2 Anhang"/>
    <w:basedOn w:val="a0"/>
    <w:link w:val="berschrift2AnhangZchn"/>
    <w:rsid w:val="003A7509"/>
    <w:pPr>
      <w:numPr>
        <w:numId w:val="4"/>
      </w:numPr>
      <w:jc w:val="left"/>
    </w:pPr>
    <w:rPr>
      <w:rFonts w:asciiTheme="majorHAnsi" w:hAnsiTheme="majorHAnsi"/>
      <w:b/>
      <w:sz w:val="24"/>
      <w:lang w:eastAsia="de-DE"/>
    </w:rPr>
  </w:style>
  <w:style w:type="character" w:customStyle="1" w:styleId="berschrift2AnhangZchn">
    <w:name w:val="Überschrift 2 Anhang Zchn"/>
    <w:basedOn w:val="a1"/>
    <w:link w:val="berschrift2Anhang"/>
    <w:rsid w:val="003A7509"/>
    <w:rPr>
      <w:rFonts w:asciiTheme="majorHAnsi" w:eastAsia="Times New Roman" w:hAnsiTheme="majorHAnsi" w:cs="Times New Roman"/>
      <w:b/>
      <w:lang w:eastAsia="de-DE"/>
    </w:rPr>
  </w:style>
  <w:style w:type="paragraph" w:customStyle="1" w:styleId="berschrift1Anhang">
    <w:name w:val="Überschrift 1 Anhang"/>
    <w:basedOn w:val="a0"/>
    <w:link w:val="berschrift1AnhangZchn"/>
    <w:rsid w:val="003A7509"/>
    <w:pPr>
      <w:numPr>
        <w:numId w:val="3"/>
      </w:numPr>
      <w:jc w:val="left"/>
    </w:pPr>
    <w:rPr>
      <w:rFonts w:asciiTheme="majorHAnsi" w:hAnsiTheme="majorHAnsi"/>
      <w:b/>
      <w:sz w:val="28"/>
      <w:szCs w:val="28"/>
      <w:lang w:eastAsia="de-DE"/>
    </w:rPr>
  </w:style>
  <w:style w:type="character" w:customStyle="1" w:styleId="berschrift1AnhangZchn">
    <w:name w:val="Überschrift 1 Anhang Zchn"/>
    <w:basedOn w:val="a1"/>
    <w:link w:val="berschrift1Anhang"/>
    <w:rsid w:val="003A7509"/>
    <w:rPr>
      <w:rFonts w:asciiTheme="majorHAnsi" w:eastAsia="Times New Roman" w:hAnsiTheme="majorHAnsi" w:cs="Times New Roman"/>
      <w:b/>
      <w:sz w:val="28"/>
      <w:szCs w:val="28"/>
      <w:lang w:eastAsia="de-DE"/>
    </w:rPr>
  </w:style>
  <w:style w:type="paragraph" w:customStyle="1" w:styleId="berschrift2neuAnhang">
    <w:name w:val="Überschrift 2 neu Anhang"/>
    <w:basedOn w:val="berschrift1Anhang"/>
    <w:link w:val="berschrift2neuAnhangZchn"/>
    <w:rsid w:val="003A7509"/>
    <w:pPr>
      <w:numPr>
        <w:numId w:val="5"/>
      </w:numPr>
      <w:ind w:left="360"/>
    </w:pPr>
  </w:style>
  <w:style w:type="character" w:customStyle="1" w:styleId="berschrift2neuAnhangZchn">
    <w:name w:val="Überschrift 2 neu Anhang Zchn"/>
    <w:basedOn w:val="berschrift2AnhangZchn"/>
    <w:link w:val="berschrift2neuAnhang"/>
    <w:rsid w:val="003A7509"/>
    <w:rPr>
      <w:rFonts w:asciiTheme="majorHAnsi" w:eastAsia="Times New Roman" w:hAnsiTheme="majorHAnsi" w:cs="Times New Roman"/>
      <w:b/>
      <w:sz w:val="28"/>
      <w:szCs w:val="28"/>
      <w:lang w:eastAsia="de-DE"/>
    </w:rPr>
  </w:style>
  <w:style w:type="paragraph" w:customStyle="1" w:styleId="Anhangberschrift2">
    <w:name w:val="Anhang Überschrift 2"/>
    <w:basedOn w:val="berschrift2neuAnhang"/>
    <w:link w:val="Anhangberschrift2Zchn"/>
    <w:qFormat/>
    <w:rsid w:val="003A7509"/>
    <w:pPr>
      <w:numPr>
        <w:numId w:val="0"/>
      </w:numPr>
    </w:pPr>
  </w:style>
  <w:style w:type="character" w:customStyle="1" w:styleId="Anhangberschrift2Zchn">
    <w:name w:val="Anhang Überschrift 2 Zchn"/>
    <w:basedOn w:val="berschrift2neuAnhangZchn"/>
    <w:link w:val="Anhangberschrift2"/>
    <w:rsid w:val="003A7509"/>
    <w:rPr>
      <w:rFonts w:asciiTheme="majorHAnsi" w:eastAsia="Times New Roman" w:hAnsiTheme="majorHAnsi" w:cs="Times New Roman"/>
      <w:b/>
      <w:sz w:val="28"/>
      <w:szCs w:val="28"/>
      <w:lang w:eastAsia="de-DE"/>
    </w:rPr>
  </w:style>
  <w:style w:type="paragraph" w:styleId="aff0">
    <w:name w:val="Body Text"/>
    <w:basedOn w:val="a0"/>
    <w:link w:val="aff1"/>
    <w:autoRedefine/>
    <w:uiPriority w:val="1"/>
    <w:qFormat/>
    <w:rsid w:val="00223B81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f1">
    <w:name w:val="正文文本 字符"/>
    <w:link w:val="aff0"/>
    <w:uiPriority w:val="1"/>
    <w:rsid w:val="00223B81"/>
    <w:rPr>
      <w:rFonts w:ascii="Times New Roman" w:eastAsia="Times New Roman" w:hAnsi="Times New Roman" w:cs="Times New Roman"/>
      <w:sz w:val="21"/>
      <w:szCs w:val="21"/>
      <w:lang w:val="en-US" w:eastAsia="zh-CN"/>
    </w:rPr>
  </w:style>
  <w:style w:type="character" w:styleId="aff2">
    <w:name w:val="annotation reference"/>
    <w:basedOn w:val="a1"/>
    <w:uiPriority w:val="99"/>
    <w:unhideWhenUsed/>
    <w:qFormat/>
    <w:rsid w:val="003A7509"/>
    <w:rPr>
      <w:sz w:val="16"/>
      <w:szCs w:val="16"/>
    </w:rPr>
  </w:style>
  <w:style w:type="paragraph" w:styleId="aff3">
    <w:name w:val="annotation text"/>
    <w:basedOn w:val="a0"/>
    <w:link w:val="aff4"/>
    <w:uiPriority w:val="99"/>
    <w:unhideWhenUsed/>
    <w:qFormat/>
    <w:rsid w:val="003A7509"/>
    <w:pPr>
      <w:jc w:val="left"/>
    </w:pPr>
    <w:rPr>
      <w:sz w:val="20"/>
      <w:szCs w:val="20"/>
      <w:lang w:eastAsia="de-DE"/>
    </w:rPr>
  </w:style>
  <w:style w:type="character" w:customStyle="1" w:styleId="aff4">
    <w:name w:val="批注文字 字符"/>
    <w:basedOn w:val="a1"/>
    <w:link w:val="aff3"/>
    <w:uiPriority w:val="99"/>
    <w:rsid w:val="003A750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3A7509"/>
    <w:rPr>
      <w:b/>
      <w:bCs/>
    </w:rPr>
  </w:style>
  <w:style w:type="character" w:customStyle="1" w:styleId="aff6">
    <w:name w:val="批注主题 字符"/>
    <w:basedOn w:val="aff4"/>
    <w:link w:val="aff5"/>
    <w:uiPriority w:val="99"/>
    <w:semiHidden/>
    <w:rsid w:val="003A750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la">
    <w:name w:val="la"/>
    <w:basedOn w:val="a1"/>
    <w:rsid w:val="003A7509"/>
  </w:style>
  <w:style w:type="character" w:customStyle="1" w:styleId="en">
    <w:name w:val="en"/>
    <w:basedOn w:val="a1"/>
    <w:rsid w:val="003A7509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3A750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de-DE"/>
    </w:rPr>
  </w:style>
  <w:style w:type="character" w:customStyle="1" w:styleId="z-0">
    <w:name w:val="z-窗体顶端 字符"/>
    <w:basedOn w:val="a1"/>
    <w:link w:val="z-"/>
    <w:uiPriority w:val="99"/>
    <w:semiHidden/>
    <w:rsid w:val="003A750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3A750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de-DE"/>
    </w:rPr>
  </w:style>
  <w:style w:type="character" w:customStyle="1" w:styleId="z-2">
    <w:name w:val="z-窗体底端 字符"/>
    <w:basedOn w:val="a1"/>
    <w:link w:val="z-1"/>
    <w:uiPriority w:val="99"/>
    <w:semiHidden/>
    <w:rsid w:val="003A7509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apple-converted-space">
    <w:name w:val="apple-converted-space"/>
    <w:basedOn w:val="a1"/>
    <w:rsid w:val="003A7509"/>
  </w:style>
  <w:style w:type="table" w:styleId="21">
    <w:name w:val="Plain Table 2"/>
    <w:basedOn w:val="a2"/>
    <w:uiPriority w:val="42"/>
    <w:rsid w:val="003A7509"/>
    <w:rPr>
      <w:rFonts w:ascii="Calibri" w:eastAsia="Calibri" w:hAnsi="Calibri" w:cs="Times New Roman"/>
      <w:sz w:val="22"/>
      <w:szCs w:val="22"/>
      <w:lang w:eastAsia="de-D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ff7">
    <w:name w:val="Grid Table Light"/>
    <w:basedOn w:val="a2"/>
    <w:uiPriority w:val="40"/>
    <w:rsid w:val="003A7509"/>
    <w:rPr>
      <w:rFonts w:ascii="Calibri" w:eastAsia="Calibri" w:hAnsi="Calibri" w:cs="Times New Roman"/>
      <w:sz w:val="22"/>
      <w:szCs w:val="22"/>
      <w:lang w:eastAsia="de-D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41">
    <w:name w:val="Plain Table 4"/>
    <w:basedOn w:val="a2"/>
    <w:uiPriority w:val="44"/>
    <w:rsid w:val="003A7509"/>
    <w:rPr>
      <w:rFonts w:ascii="Calibri" w:eastAsia="Calibri" w:hAnsi="Calibri" w:cs="Times New Roman"/>
      <w:sz w:val="22"/>
      <w:szCs w:val="22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11">
    <w:name w:val="未处理的提及1"/>
    <w:basedOn w:val="a1"/>
    <w:uiPriority w:val="99"/>
    <w:rsid w:val="003A7509"/>
    <w:rPr>
      <w:color w:val="605E5C"/>
      <w:shd w:val="clear" w:color="auto" w:fill="E1DFDD"/>
    </w:rPr>
  </w:style>
  <w:style w:type="table" w:styleId="51">
    <w:name w:val="Plain Table 5"/>
    <w:basedOn w:val="a2"/>
    <w:uiPriority w:val="45"/>
    <w:rsid w:val="003A7509"/>
    <w:rPr>
      <w:rFonts w:ascii="Calibri" w:eastAsia="Calibri" w:hAnsi="Calibri" w:cs="Times New Roman"/>
      <w:sz w:val="22"/>
      <w:szCs w:val="22"/>
      <w:lang w:eastAsia="de-D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2">
    <w:name w:val="Grid Table 1 Light"/>
    <w:basedOn w:val="a2"/>
    <w:uiPriority w:val="46"/>
    <w:rsid w:val="003A7509"/>
    <w:rPr>
      <w:rFonts w:ascii="Calibri" w:eastAsia="Calibri" w:hAnsi="Calibri" w:cs="Times New Roman"/>
      <w:sz w:val="22"/>
      <w:szCs w:val="22"/>
      <w:lang w:eastAsia="de-D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3">
    <w:name w:val="1"/>
    <w:basedOn w:val="a2"/>
    <w:rsid w:val="003A7509"/>
    <w:rPr>
      <w:rFonts w:ascii="Calibri" w:eastAsia="Calibri" w:hAnsi="Calibri" w:cs="Calibri"/>
      <w:sz w:val="22"/>
      <w:szCs w:val="22"/>
      <w:lang w:val="en-CA" w:eastAsia="de-DE"/>
    </w:rPr>
    <w:tblPr>
      <w:tblStyleRowBandSize w:val="1"/>
      <w:tblStyleColBandSize w:val="1"/>
    </w:tblPr>
  </w:style>
  <w:style w:type="paragraph" w:customStyle="1" w:styleId="EndNoteBibliographyTitle">
    <w:name w:val="EndNote Bibliography Title"/>
    <w:basedOn w:val="a0"/>
    <w:link w:val="EndNoteBibliographyTitleZchn"/>
    <w:rsid w:val="003A7509"/>
    <w:pPr>
      <w:jc w:val="center"/>
    </w:pPr>
    <w:rPr>
      <w:rFonts w:ascii="Calibri" w:hAnsi="Calibri" w:cs="Calibri"/>
      <w:lang w:eastAsia="de-DE"/>
    </w:rPr>
  </w:style>
  <w:style w:type="character" w:customStyle="1" w:styleId="EndNoteBibliographyTitleZchn">
    <w:name w:val="EndNote Bibliography Title Zchn"/>
    <w:basedOn w:val="a1"/>
    <w:link w:val="EndNoteBibliographyTitle"/>
    <w:rsid w:val="003A7509"/>
    <w:rPr>
      <w:rFonts w:ascii="Calibri" w:eastAsia="Times New Roman" w:hAnsi="Calibri" w:cs="Calibri"/>
      <w:sz w:val="22"/>
      <w:lang w:val="en-US" w:eastAsia="de-DE"/>
    </w:rPr>
  </w:style>
  <w:style w:type="paragraph" w:customStyle="1" w:styleId="EndNoteBibliography">
    <w:name w:val="EndNote Bibliography"/>
    <w:basedOn w:val="a0"/>
    <w:link w:val="EndNoteBibliographyZchn"/>
    <w:rsid w:val="003A7509"/>
    <w:pPr>
      <w:jc w:val="left"/>
    </w:pPr>
    <w:rPr>
      <w:rFonts w:ascii="Calibri" w:hAnsi="Calibri" w:cs="Calibri"/>
      <w:lang w:eastAsia="de-DE"/>
    </w:rPr>
  </w:style>
  <w:style w:type="character" w:customStyle="1" w:styleId="EndNoteBibliographyZchn">
    <w:name w:val="EndNote Bibliography Zchn"/>
    <w:basedOn w:val="a1"/>
    <w:link w:val="EndNoteBibliography"/>
    <w:rsid w:val="003A7509"/>
    <w:rPr>
      <w:rFonts w:ascii="Calibri" w:eastAsia="Times New Roman" w:hAnsi="Calibri" w:cs="Calibri"/>
      <w:sz w:val="22"/>
      <w:lang w:val="en-US" w:eastAsia="de-DE"/>
    </w:rPr>
  </w:style>
  <w:style w:type="table" w:customStyle="1" w:styleId="Tabellenraster1">
    <w:name w:val="Tabellenraster1"/>
    <w:basedOn w:val="a2"/>
    <w:next w:val="aa"/>
    <w:uiPriority w:val="59"/>
    <w:rsid w:val="003A7509"/>
    <w:rPr>
      <w:rFonts w:ascii="Calibri" w:eastAsia="Times New Roman" w:hAnsi="Calibri" w:cs="Times New Roman"/>
      <w:sz w:val="20"/>
      <w:szCs w:val="20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8">
    <w:name w:val="副标题 字符"/>
    <w:basedOn w:val="a1"/>
    <w:link w:val="aff9"/>
    <w:uiPriority w:val="11"/>
    <w:rsid w:val="003A7509"/>
    <w:rPr>
      <w:rFonts w:ascii="Georgia" w:eastAsia="Georgia" w:hAnsi="Georgia" w:cs="Georgia"/>
      <w:i/>
      <w:color w:val="666666"/>
      <w:sz w:val="48"/>
      <w:szCs w:val="48"/>
      <w:lang w:val="en-US" w:eastAsia="en-GB"/>
    </w:rPr>
  </w:style>
  <w:style w:type="paragraph" w:styleId="aff9">
    <w:name w:val="Subtitle"/>
    <w:basedOn w:val="a0"/>
    <w:next w:val="a0"/>
    <w:link w:val="aff8"/>
    <w:uiPriority w:val="11"/>
    <w:qFormat/>
    <w:rsid w:val="003A7509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character" w:customStyle="1" w:styleId="UntertitelZchn1">
    <w:name w:val="Untertitel Zchn1"/>
    <w:basedOn w:val="a1"/>
    <w:uiPriority w:val="11"/>
    <w:rsid w:val="003A7509"/>
    <w:rPr>
      <w:rFonts w:eastAsiaTheme="minorEastAsia"/>
      <w:color w:val="5A5A5A" w:themeColor="text1" w:themeTint="A5"/>
      <w:spacing w:val="15"/>
      <w:sz w:val="22"/>
      <w:szCs w:val="22"/>
    </w:rPr>
  </w:style>
  <w:style w:type="table" w:customStyle="1" w:styleId="TableGridLight1">
    <w:name w:val="Table Grid Light1"/>
    <w:basedOn w:val="a2"/>
    <w:uiPriority w:val="40"/>
    <w:rsid w:val="003A7509"/>
    <w:rPr>
      <w:sz w:val="22"/>
      <w:szCs w:val="22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fa">
    <w:name w:val="Revision"/>
    <w:hidden/>
    <w:uiPriority w:val="99"/>
    <w:semiHidden/>
    <w:rsid w:val="00AA3FAF"/>
    <w:rPr>
      <w:sz w:val="22"/>
    </w:rPr>
  </w:style>
  <w:style w:type="paragraph" w:customStyle="1" w:styleId="affb">
    <w:name w:val="表题"/>
    <w:basedOn w:val="a0"/>
    <w:autoRedefine/>
    <w:qFormat/>
    <w:rsid w:val="00223B81"/>
    <w:pPr>
      <w:spacing w:beforeLines="100" w:before="240" w:afterLines="100" w:after="240"/>
      <w:ind w:leftChars="200" w:left="420" w:firstLineChars="0" w:firstLine="0"/>
      <w:jc w:val="center"/>
    </w:pPr>
    <w:rPr>
      <w:b/>
    </w:rPr>
  </w:style>
  <w:style w:type="paragraph" w:customStyle="1" w:styleId="affc">
    <w:name w:val="表注"/>
    <w:basedOn w:val="affb"/>
    <w:autoRedefine/>
    <w:qFormat/>
    <w:rsid w:val="00223B81"/>
    <w:pPr>
      <w:adjustRightInd w:val="0"/>
      <w:snapToGrid w:val="0"/>
      <w:spacing w:beforeLines="0" w:before="0" w:afterLines="0" w:after="0"/>
      <w:ind w:leftChars="0" w:left="0"/>
    </w:pPr>
    <w:rPr>
      <w:b w:val="0"/>
    </w:rPr>
  </w:style>
  <w:style w:type="paragraph" w:customStyle="1" w:styleId="affd">
    <w:name w:val="参考文献"/>
    <w:basedOn w:val="a0"/>
    <w:autoRedefine/>
    <w:qFormat/>
    <w:rsid w:val="00223B81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ffe">
    <w:name w:val="稿件类型"/>
    <w:basedOn w:val="a0"/>
    <w:autoRedefine/>
    <w:qFormat/>
    <w:rsid w:val="00223B81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fff">
    <w:name w:val="关键词"/>
    <w:basedOn w:val="a0"/>
    <w:autoRedefine/>
    <w:qFormat/>
    <w:rsid w:val="00223B81"/>
    <w:pPr>
      <w:ind w:firstLineChars="0" w:firstLine="0"/>
    </w:pPr>
    <w:rPr>
      <w:noProof/>
    </w:rPr>
  </w:style>
  <w:style w:type="character" w:styleId="afff0">
    <w:name w:val="line number"/>
    <w:uiPriority w:val="99"/>
    <w:semiHidden/>
    <w:unhideWhenUsed/>
    <w:rsid w:val="00223B81"/>
  </w:style>
  <w:style w:type="paragraph" w:customStyle="1" w:styleId="afff1">
    <w:name w:val="机构信息"/>
    <w:basedOn w:val="a0"/>
    <w:link w:val="afff2"/>
    <w:autoRedefine/>
    <w:qFormat/>
    <w:rsid w:val="00223B81"/>
    <w:pPr>
      <w:ind w:firstLineChars="0" w:firstLine="0"/>
    </w:pPr>
    <w:rPr>
      <w:i/>
    </w:rPr>
  </w:style>
  <w:style w:type="character" w:customStyle="1" w:styleId="afff2">
    <w:name w:val="机构信息 字符"/>
    <w:link w:val="afff1"/>
    <w:rsid w:val="00223B81"/>
    <w:rPr>
      <w:rFonts w:ascii="Times New Roman" w:eastAsia="Times New Roman" w:hAnsi="Times New Roman" w:cs="Times New Roman"/>
      <w:i/>
      <w:kern w:val="2"/>
      <w:sz w:val="21"/>
      <w:szCs w:val="21"/>
      <w:lang w:val="en-US" w:eastAsia="zh-CN"/>
    </w:rPr>
  </w:style>
  <w:style w:type="paragraph" w:customStyle="1" w:styleId="afff3">
    <w:name w:val="接收日期"/>
    <w:basedOn w:val="a0"/>
    <w:autoRedefine/>
    <w:qFormat/>
    <w:rsid w:val="00223B81"/>
    <w:pPr>
      <w:ind w:firstLineChars="0" w:firstLine="0"/>
    </w:pPr>
  </w:style>
  <w:style w:type="paragraph" w:customStyle="1" w:styleId="afff4">
    <w:name w:val="通讯作者"/>
    <w:basedOn w:val="a0"/>
    <w:autoRedefine/>
    <w:qFormat/>
    <w:rsid w:val="00223B81"/>
    <w:pPr>
      <w:ind w:firstLineChars="0" w:firstLine="0"/>
    </w:pPr>
  </w:style>
  <w:style w:type="paragraph" w:customStyle="1" w:styleId="afff5">
    <w:name w:val="图注"/>
    <w:basedOn w:val="affc"/>
    <w:autoRedefine/>
    <w:qFormat/>
    <w:rsid w:val="00223B81"/>
  </w:style>
  <w:style w:type="paragraph" w:customStyle="1" w:styleId="afff6">
    <w:name w:val="文章标题"/>
    <w:basedOn w:val="a0"/>
    <w:link w:val="afff7"/>
    <w:autoRedefine/>
    <w:qFormat/>
    <w:rsid w:val="00223B81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ff7">
    <w:name w:val="文章标题 字符"/>
    <w:link w:val="afff6"/>
    <w:rsid w:val="00223B81"/>
    <w:rPr>
      <w:rFonts w:ascii="Times New Roman" w:eastAsia="Times New Roman" w:hAnsi="Times New Roman" w:cs="Times New Roman"/>
      <w:b/>
      <w:bCs/>
      <w:spacing w:val="-8"/>
      <w:kern w:val="2"/>
      <w:sz w:val="36"/>
      <w:szCs w:val="36"/>
      <w:lang w:val="en-US" w:eastAsia="zh-CN"/>
    </w:rPr>
  </w:style>
  <w:style w:type="paragraph" w:customStyle="1" w:styleId="afff8">
    <w:name w:val="文章内容"/>
    <w:basedOn w:val="a0"/>
    <w:link w:val="afff9"/>
    <w:autoRedefine/>
    <w:rsid w:val="00223B81"/>
    <w:pPr>
      <w:ind w:firstLine="420"/>
    </w:pPr>
    <w:rPr>
      <w:color w:val="000000"/>
    </w:rPr>
  </w:style>
  <w:style w:type="character" w:customStyle="1" w:styleId="afff9">
    <w:name w:val="文章内容 字符"/>
    <w:link w:val="afff8"/>
    <w:rsid w:val="00223B81"/>
    <w:rPr>
      <w:rFonts w:ascii="Times New Roman" w:eastAsia="Times New Roman" w:hAnsi="Times New Roman" w:cs="Times New Roman"/>
      <w:color w:val="000000"/>
      <w:kern w:val="2"/>
      <w:sz w:val="21"/>
      <w:szCs w:val="21"/>
      <w:lang w:val="en-US" w:eastAsia="zh-CN"/>
    </w:rPr>
  </w:style>
  <w:style w:type="paragraph" w:customStyle="1" w:styleId="afffa">
    <w:name w:val="摘要"/>
    <w:basedOn w:val="a0"/>
    <w:autoRedefine/>
    <w:qFormat/>
    <w:rsid w:val="00223B81"/>
    <w:pPr>
      <w:ind w:firstLineChars="0" w:firstLine="0"/>
    </w:pPr>
    <w:rPr>
      <w:noProof/>
    </w:rPr>
  </w:style>
  <w:style w:type="paragraph" w:customStyle="1" w:styleId="afffb">
    <w:name w:val="致谢部分"/>
    <w:basedOn w:val="aff0"/>
    <w:link w:val="afffc"/>
    <w:autoRedefine/>
    <w:qFormat/>
    <w:rsid w:val="00223B81"/>
    <w:pPr>
      <w:ind w:firstLineChars="0" w:firstLine="0"/>
    </w:pPr>
    <w:rPr>
      <w:b/>
      <w:sz w:val="24"/>
      <w:szCs w:val="24"/>
    </w:rPr>
  </w:style>
  <w:style w:type="character" w:customStyle="1" w:styleId="afffc">
    <w:name w:val="致谢部分 字符"/>
    <w:link w:val="afffb"/>
    <w:rsid w:val="00223B81"/>
    <w:rPr>
      <w:rFonts w:ascii="Times New Roman" w:eastAsia="Times New Roman" w:hAnsi="Times New Roman" w:cs="Times New Roman"/>
      <w:b/>
      <w:lang w:val="en-US" w:eastAsia="zh-CN"/>
    </w:rPr>
  </w:style>
  <w:style w:type="paragraph" w:customStyle="1" w:styleId="afffd">
    <w:name w:val="作者信息"/>
    <w:basedOn w:val="a0"/>
    <w:autoRedefine/>
    <w:qFormat/>
    <w:rsid w:val="00223B81"/>
    <w:pPr>
      <w:ind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5319</Words>
  <Characters>30319</Characters>
  <Application>Microsoft Office Word</Application>
  <DocSecurity>0</DocSecurity>
  <Lines>252</Lines>
  <Paragraphs>71</Paragraphs>
  <ScaleCrop>false</ScaleCrop>
  <Company/>
  <LinksUpToDate>false</LinksUpToDate>
  <CharactersWithSpaces>35567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Pankrath</dc:creator>
  <cp:keywords/>
  <dc:description/>
  <cp:lastModifiedBy>Kayla</cp:lastModifiedBy>
  <cp:revision>3</cp:revision>
  <dcterms:created xsi:type="dcterms:W3CDTF">2024-10-29T10:45:00Z</dcterms:created>
  <dcterms:modified xsi:type="dcterms:W3CDTF">2024-12-17T03:05:00Z</dcterms:modified>
</cp:coreProperties>
</file>